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12" w:space="6"/>
        </w:pBdr>
        <w:spacing w:after="0" w:before="0"/>
      </w:pPr>
      <w:r>
        <w:rPr>
          <w:rFonts w:ascii="Calibri" w:cs="Calibri" w:eastAsia="Calibri" w:hAnsi="Calibri"/>
          <w:b/>
          <w:bCs/>
          <w:caps/>
          <w:color w:val="777777"/>
          <w:spacing w:val="80"/>
          <w:sz w:val="20"/>
          <w:szCs w:val="20"/>
        </w:rPr>
        <w:t xml:space="preserve">PANACHE HAIR COMPANY LLC</w:t>
      </w:r>
    </w:p>
    <w:p>
      <w:pPr>
        <w:spacing w:after="4" w:before="8"/>
      </w:pPr>
      <w:r>
        <w:rPr>
          <w:rFonts w:ascii="Calibri" w:cs="Calibri" w:eastAsia="Calibri" w:hAnsi="Calibri"/>
          <w:i/>
          <w:iCs/>
          <w:color w:val="777777"/>
          <w:sz w:val="18"/>
          <w:szCs w:val="18"/>
        </w:rPr>
        <w:t xml:space="preserve">Benita Davis, Your Healthy Hair Coach</w:t>
      </w:r>
    </w:p>
    <w:p>
      <w:pPr>
        <w:spacing w:after="80" w:before="180"/>
      </w:pPr>
    </w:p>
    <w:p>
      <w:pPr>
        <w:spacing w:after="20" w:before="0"/>
        <w:jc w:val="left"/>
      </w:pPr>
      <w:r>
        <w:rPr>
          <w:rFonts w:ascii="Georgia" w:cs="Georgia" w:eastAsia="Georgia" w:hAnsi="Georgia"/>
          <w:b/>
          <w:bCs/>
          <w:color w:val="000000"/>
          <w:sz w:val="44"/>
          <w:szCs w:val="44"/>
        </w:rPr>
        <w:t xml:space="preserve">Intellectual Property &amp;
Assessment Use Policy</w:t>
      </w:r>
    </w:p>
    <w:p>
      <w:pPr>
        <w:spacing w:after="120" w:before="0"/>
        <w:jc w:val="left"/>
      </w:pPr>
      <w:r>
        <w:rPr>
          <w:rFonts w:ascii="Calibri" w:cs="Calibri" w:eastAsia="Calibri" w:hAnsi="Calibri"/>
          <w:color w:val="4A4A4A"/>
          <w:sz w:val="22"/>
          <w:szCs w:val="22"/>
        </w:rPr>
        <w:t xml:space="preserve">Benita Davis, Your Healthy Hair Coach — Panache Hair Company LLC</w:t>
      </w:r>
    </w:p>
    <w:p>
      <w:pPr>
        <w:pBdr>
          <w:top w:val="single" w:color="CCCCCC" w:sz="4" w:space="4"/>
        </w:pBdr>
        <w:spacing w:after="0" w:before="0"/>
      </w:pPr>
      <w:r>
        <w:t xml:space="preserve"/>
      </w:r>
    </w:p>
    <w:p>
      <w:pPr>
        <w:spacing w:after="20" w:before="20"/>
      </w:pPr>
    </w:p>
    <w:p>
      <w:pPr>
        <w:spacing w:after="40" w:before="0"/>
      </w:pPr>
      <w:r>
        <w:rPr>
          <w:rFonts w:ascii="Calibri" w:cs="Calibri" w:eastAsia="Calibri" w:hAnsi="Calibri"/>
          <w:b/>
          <w:bCs/>
          <w:color w:val="4A4A4A"/>
          <w:sz w:val="19"/>
          <w:szCs w:val="19"/>
        </w:rPr>
        <w:t xml:space="preserve">Effective Date: </w:t>
      </w:r>
      <w:r>
        <w:rPr>
          <w:rFonts w:ascii="Calibri" w:cs="Calibri" w:eastAsia="Calibri" w:hAnsi="Calibri"/>
          <w:color w:val="4A4A4A"/>
          <w:sz w:val="19"/>
          <w:szCs w:val="19"/>
        </w:rPr>
        <w:t xml:space="preserve">July 3, 2026</w:t>
      </w:r>
    </w:p>
    <w:p>
      <w:pPr>
        <w:spacing w:after="60" w:before="0"/>
      </w:pPr>
      <w:r>
        <w:rPr>
          <w:rFonts w:ascii="Calibri" w:cs="Calibri" w:eastAsia="Calibri" w:hAnsi="Calibri"/>
          <w:b/>
          <w:bCs/>
          <w:color w:val="4A4A4A"/>
          <w:sz w:val="19"/>
          <w:szCs w:val="19"/>
        </w:rPr>
        <w:t xml:space="preserve">Jurisdiction: </w:t>
      </w:r>
      <w:r>
        <w:rPr>
          <w:rFonts w:ascii="Calibri" w:cs="Calibri" w:eastAsia="Calibri" w:hAnsi="Calibri"/>
          <w:color w:val="4A4A4A"/>
          <w:sz w:val="19"/>
          <w:szCs w:val="19"/>
        </w:rPr>
        <w:t xml:space="preserve">State of Georgia, United States of America</w:t>
      </w:r>
    </w:p>
    <w:p>
      <w:pPr>
        <w:spacing w:after="40" w:before="4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ATTORNEY-REVIEW NOTICE: These documents are drafted to professional legal standards for review by qualified legal counsel prior to publication. They do not constitute legal advice and should be reviewed, modified as necessary, and approved by a licensed attorney before use.</w:t>
      </w:r>
    </w:p>
    <w:p>
      <w:pPr>
        <w:pBdr>
          <w:bottom w:val="single" w:color="CCCCCC" w:sz="4" w:space="4"/>
        </w:pBdr>
        <w:spacing w:after="0" w:before="20"/>
      </w:pPr>
      <w:r>
        <w:t xml:space="preserve"/>
      </w:r>
    </w:p>
    <w:p>
      <w:pPr>
        <w:spacing w:after="40" w:before="80"/>
      </w:pPr>
    </w:p>
    <w:p>
      <w:pPr>
        <w:pStyle w:val="Heading1"/>
        <w:pBdr>
          <w:bottom w:val="single" w:color="000000" w:sz="6" w:space="4"/>
        </w:pBdr>
        <w:spacing w:after="120" w:before="400"/>
      </w:pPr>
      <w:r>
        <w:rPr>
          <w:rFonts w:ascii="Georgia" w:cs="Georgia" w:eastAsia="Georgia" w:hAnsi="Georgia"/>
          <w:b/>
          <w:bCs/>
          <w:color w:val="000000"/>
          <w:sz w:val="26"/>
          <w:szCs w:val="26"/>
        </w:rPr>
        <w:t xml:space="preserve">Purpose and Scope</w:t>
      </w:r>
    </w:p>
    <w:p>
      <w:pPr>
        <w:spacing w:after="60" w:before="60"/>
        <w:jc w:val="left"/>
      </w:pPr>
      <w:r>
        <w:rPr>
          <w:rFonts w:ascii="Calibri" w:cs="Calibri" w:eastAsia="Calibri" w:hAnsi="Calibri"/>
          <w:b w:val="false"/>
          <w:bCs w:val="false"/>
          <w:i w:val="false"/>
          <w:iCs w:val="false"/>
          <w:color w:val="1A1A1A"/>
          <w:sz w:val="20"/>
          <w:szCs w:val="20"/>
        </w:rPr>
        <w:t xml:space="preserve">This Intellectual Property and Assessment Use Policy ("IP Policy") governs all intellectual property rights relating to the Benita Davis, Your Healthy Hair Coach Platform, its Services, and all associated content, frameworks, methodologies, and outputs. This IP Policy is incorporated by reference into the Terms and Conditions and applies to all users of the Platform operated by Panache Hair Company LLC ("Company").</w:t>
      </w:r>
    </w:p>
    <w:p>
      <w:pPr>
        <w:spacing w:after="60" w:before="60"/>
        <w:jc w:val="left"/>
      </w:pPr>
      <w:r>
        <w:rPr>
          <w:rFonts w:ascii="Calibri" w:cs="Calibri" w:eastAsia="Calibri" w:hAnsi="Calibri"/>
          <w:b w:val="false"/>
          <w:bCs w:val="false"/>
          <w:i w:val="false"/>
          <w:iCs w:val="false"/>
          <w:color w:val="1A1A1A"/>
          <w:sz w:val="20"/>
          <w:szCs w:val="20"/>
        </w:rPr>
        <w:t xml:space="preserve">The Company's proprietary frameworks, methodologies, and assessment systems — including the Decision Engine, Business Health Framework, Business Growth Maturity Model, and Healthy Hair Clarity Report™ findings methodology — represent the Company's most valuable commercial and intellectual assets and are protected by the fullest extent of applicable intellectual property and trade secret law.</w:t>
      </w:r>
    </w:p>
    <w:p>
      <w:pPr>
        <w:pStyle w:val="Heading1"/>
        <w:pBdr>
          <w:bottom w:val="single" w:color="000000" w:sz="6" w:space="4"/>
        </w:pBdr>
        <w:spacing w:after="120" w:before="400"/>
      </w:pPr>
      <w:r>
        <w:rPr>
          <w:rFonts w:ascii="Georgia" w:cs="Georgia" w:eastAsia="Georgia" w:hAnsi="Georgia"/>
          <w:b/>
          <w:bCs/>
          <w:color w:val="000000"/>
          <w:sz w:val="26"/>
          <w:szCs w:val="26"/>
        </w:rPr>
        <w:t xml:space="preserve">1. Company Intellectual Property</w:t>
      </w:r>
    </w:p>
    <w:p>
      <w:pPr>
        <w:pStyle w:val="Heading2"/>
        <w:spacing w:after="100" w:before="300"/>
      </w:pPr>
      <w:r>
        <w:rPr>
          <w:rFonts w:ascii="Calibri" w:cs="Calibri" w:eastAsia="Calibri" w:hAnsi="Calibri"/>
          <w:b/>
          <w:bCs/>
          <w:color w:val="1A1A1A"/>
          <w:sz w:val="22"/>
          <w:szCs w:val="22"/>
        </w:rPr>
        <w:t xml:space="preserve">1.1 Owned Assets</w:t>
      </w:r>
    </w:p>
    <w:p>
      <w:pPr>
        <w:spacing w:after="60" w:before="60"/>
        <w:jc w:val="left"/>
      </w:pPr>
      <w:r>
        <w:rPr>
          <w:rFonts w:ascii="Calibri" w:cs="Calibri" w:eastAsia="Calibri" w:hAnsi="Calibri"/>
          <w:b w:val="false"/>
          <w:bCs w:val="false"/>
          <w:i w:val="false"/>
          <w:iCs w:val="false"/>
          <w:color w:val="1A1A1A"/>
          <w:sz w:val="20"/>
          <w:szCs w:val="20"/>
        </w:rPr>
        <w:t xml:space="preserve">Panache Hair Company LLC exclusively owns all right, title, and interest in and to the following intellectual property (collectively, "Company IP"):</w:t>
      </w:r>
    </w:p>
    <w:p>
      <w:pPr>
        <w:pStyle w:val="ListParagraph"/>
        <w:numPr>
          <w:ilvl w:val="0"/>
          <w:numId w:val="2"/>
        </w:numPr>
        <w:spacing w:after="40" w:before="40"/>
      </w:pPr>
      <w:r>
        <w:rPr>
          <w:rFonts w:ascii="Calibri" w:cs="Calibri" w:eastAsia="Calibri" w:hAnsi="Calibri"/>
          <w:color w:val="1A1A1A"/>
          <w:sz w:val="20"/>
          <w:szCs w:val="20"/>
        </w:rPr>
        <w:t xml:space="preserve">Benita Davis, Your Healthy Hair Coach (registered trademark)</w:t>
      </w:r>
    </w:p>
    <w:p>
      <w:pPr>
        <w:pStyle w:val="ListParagraph"/>
        <w:numPr>
          <w:ilvl w:val="0"/>
          <w:numId w:val="2"/>
        </w:numPr>
        <w:spacing w:after="40" w:before="40"/>
      </w:pPr>
      <w:r>
        <w:rPr>
          <w:rFonts w:ascii="Calibri" w:cs="Calibri" w:eastAsia="Calibri" w:hAnsi="Calibri"/>
          <w:color w:val="1A1A1A"/>
          <w:sz w:val="20"/>
          <w:szCs w:val="20"/>
        </w:rPr>
        <w:t xml:space="preserve">Healthy Hair Clarity Report™ (registered trademark)</w:t>
      </w:r>
    </w:p>
    <w:p>
      <w:pPr>
        <w:pStyle w:val="ListParagraph"/>
        <w:numPr>
          <w:ilvl w:val="0"/>
          <w:numId w:val="2"/>
        </w:numPr>
        <w:spacing w:after="40" w:before="40"/>
      </w:pPr>
      <w:r>
        <w:rPr>
          <w:rFonts w:ascii="Calibri" w:cs="Calibri" w:eastAsia="Calibri" w:hAnsi="Calibri"/>
          <w:color w:val="1A1A1A"/>
          <w:sz w:val="20"/>
          <w:szCs w:val="20"/>
        </w:rPr>
        <w:t xml:space="preserve">Healthy Hair Prescription™ (proprietary mark)</w:t>
      </w:r>
    </w:p>
    <w:p>
      <w:pPr>
        <w:pStyle w:val="ListParagraph"/>
        <w:numPr>
          <w:ilvl w:val="0"/>
          <w:numId w:val="2"/>
        </w:numPr>
        <w:spacing w:after="40" w:before="40"/>
      </w:pPr>
      <w:r>
        <w:rPr>
          <w:rFonts w:ascii="Calibri" w:cs="Calibri" w:eastAsia="Calibri" w:hAnsi="Calibri"/>
          <w:color w:val="1A1A1A"/>
          <w:sz w:val="20"/>
          <w:szCs w:val="20"/>
        </w:rPr>
        <w:t xml:space="preserve">Healthy Hair Methodology (registered trademark)</w:t>
      </w:r>
    </w:p>
    <w:p>
      <w:pPr>
        <w:pStyle w:val="ListParagraph"/>
        <w:numPr>
          <w:ilvl w:val="0"/>
          <w:numId w:val="2"/>
        </w:numPr>
        <w:spacing w:after="40" w:before="40"/>
      </w:pPr>
      <w:r>
        <w:rPr>
          <w:rFonts w:ascii="Calibri" w:cs="Calibri" w:eastAsia="Calibri" w:hAnsi="Calibri"/>
          <w:color w:val="1A1A1A"/>
          <w:sz w:val="20"/>
          <w:szCs w:val="20"/>
        </w:rPr>
        <w:t xml:space="preserve">Healthy Hair Clarity Assessment™ — including its complete structure, question architecture, and flow</w:t>
      </w:r>
    </w:p>
    <w:p>
      <w:pPr>
        <w:pStyle w:val="ListParagraph"/>
        <w:numPr>
          <w:ilvl w:val="0"/>
          <w:numId w:val="2"/>
        </w:numPr>
        <w:spacing w:after="40" w:before="40"/>
      </w:pPr>
      <w:r>
        <w:rPr>
          <w:rFonts w:ascii="Calibri" w:cs="Calibri" w:eastAsia="Calibri" w:hAnsi="Calibri"/>
          <w:color w:val="1A1A1A"/>
          <w:sz w:val="20"/>
          <w:szCs w:val="20"/>
        </w:rPr>
        <w:t xml:space="preserve">Decision Engine — the proprietary algorithmic system that processes Assessment data</w:t>
      </w:r>
    </w:p>
    <w:p>
      <w:pPr>
        <w:pStyle w:val="ListParagraph"/>
        <w:numPr>
          <w:ilvl w:val="0"/>
          <w:numId w:val="2"/>
        </w:numPr>
        <w:spacing w:after="40" w:before="40"/>
      </w:pPr>
      <w:r>
        <w:rPr>
          <w:rFonts w:ascii="Calibri" w:cs="Calibri" w:eastAsia="Calibri" w:hAnsi="Calibri"/>
          <w:color w:val="1A1A1A"/>
          <w:sz w:val="20"/>
          <w:szCs w:val="20"/>
        </w:rPr>
        <w:t xml:space="preserve">Business Health Framework — the proprietary scoring and evaluation framework</w:t>
      </w:r>
    </w:p>
    <w:p>
      <w:pPr>
        <w:pStyle w:val="ListParagraph"/>
        <w:numPr>
          <w:ilvl w:val="0"/>
          <w:numId w:val="2"/>
        </w:numPr>
        <w:spacing w:after="40" w:before="40"/>
      </w:pPr>
      <w:r>
        <w:rPr>
          <w:rFonts w:ascii="Calibri" w:cs="Calibri" w:eastAsia="Calibri" w:hAnsi="Calibri"/>
          <w:color w:val="1A1A1A"/>
          <w:sz w:val="20"/>
          <w:szCs w:val="20"/>
        </w:rPr>
        <w:t xml:space="preserve">Business Growth Maturity Model — the proprietary growth stage classification system</w:t>
      </w:r>
    </w:p>
    <w:p>
      <w:pPr>
        <w:pStyle w:val="ListParagraph"/>
        <w:numPr>
          <w:ilvl w:val="0"/>
          <w:numId w:val="2"/>
        </w:numPr>
        <w:spacing w:after="40" w:before="40"/>
      </w:pPr>
      <w:r>
        <w:rPr>
          <w:rFonts w:ascii="Calibri" w:cs="Calibri" w:eastAsia="Calibri" w:hAnsi="Calibri"/>
          <w:color w:val="1A1A1A"/>
          <w:sz w:val="20"/>
          <w:szCs w:val="20"/>
        </w:rPr>
        <w:t xml:space="preserve">Healthy Hair Clarity Report™ findings methodology — the proprietary composite scoring algorithm</w:t>
      </w:r>
    </w:p>
    <w:p>
      <w:pPr>
        <w:pStyle w:val="ListParagraph"/>
        <w:numPr>
          <w:ilvl w:val="0"/>
          <w:numId w:val="2"/>
        </w:numPr>
        <w:spacing w:after="40" w:before="40"/>
      </w:pPr>
      <w:r>
        <w:rPr>
          <w:rFonts w:ascii="Calibri" w:cs="Calibri" w:eastAsia="Calibri" w:hAnsi="Calibri"/>
          <w:color w:val="1A1A1A"/>
          <w:sz w:val="20"/>
          <w:szCs w:val="20"/>
        </w:rPr>
        <w:t xml:space="preserve">All Assessment logic, decision trees, scoring criteria, and weighting systems</w:t>
      </w:r>
    </w:p>
    <w:p>
      <w:pPr>
        <w:pStyle w:val="ListParagraph"/>
        <w:numPr>
          <w:ilvl w:val="0"/>
          <w:numId w:val="2"/>
        </w:numPr>
        <w:spacing w:after="40" w:before="40"/>
      </w:pPr>
      <w:r>
        <w:rPr>
          <w:rFonts w:ascii="Calibri" w:cs="Calibri" w:eastAsia="Calibri" w:hAnsi="Calibri"/>
          <w:color w:val="1A1A1A"/>
          <w:sz w:val="20"/>
          <w:szCs w:val="20"/>
        </w:rPr>
        <w:t xml:space="preserve">All recommendation logic and AI prompt architecture</w:t>
      </w:r>
    </w:p>
    <w:p>
      <w:pPr>
        <w:pStyle w:val="ListParagraph"/>
        <w:numPr>
          <w:ilvl w:val="0"/>
          <w:numId w:val="2"/>
        </w:numPr>
        <w:spacing w:after="40" w:before="40"/>
      </w:pPr>
      <w:r>
        <w:rPr>
          <w:rFonts w:ascii="Calibri" w:cs="Calibri" w:eastAsia="Calibri" w:hAnsi="Calibri"/>
          <w:color w:val="1A1A1A"/>
          <w:sz w:val="20"/>
          <w:szCs w:val="20"/>
        </w:rPr>
        <w:t xml:space="preserve">All diagnostic frameworks and analysis methodologies</w:t>
      </w:r>
    </w:p>
    <w:p>
      <w:pPr>
        <w:pStyle w:val="ListParagraph"/>
        <w:numPr>
          <w:ilvl w:val="0"/>
          <w:numId w:val="2"/>
        </w:numPr>
        <w:spacing w:after="40" w:before="40"/>
      </w:pPr>
      <w:r>
        <w:rPr>
          <w:rFonts w:ascii="Calibri" w:cs="Calibri" w:eastAsia="Calibri" w:hAnsi="Calibri"/>
          <w:color w:val="1A1A1A"/>
          <w:sz w:val="20"/>
          <w:szCs w:val="20"/>
        </w:rPr>
        <w:t xml:space="preserve">All generated Reports, Report templates, and Report structures</w:t>
      </w:r>
    </w:p>
    <w:p>
      <w:pPr>
        <w:pStyle w:val="ListParagraph"/>
        <w:numPr>
          <w:ilvl w:val="0"/>
          <w:numId w:val="2"/>
        </w:numPr>
        <w:spacing w:after="40" w:before="40"/>
      </w:pPr>
      <w:r>
        <w:rPr>
          <w:rFonts w:ascii="Calibri" w:cs="Calibri" w:eastAsia="Calibri" w:hAnsi="Calibri"/>
          <w:color w:val="1A1A1A"/>
          <w:sz w:val="20"/>
          <w:szCs w:val="20"/>
        </w:rPr>
        <w:t xml:space="preserve">All AI prompts, system instructions, and AI configuration used on the Platform</w:t>
      </w:r>
    </w:p>
    <w:p>
      <w:pPr>
        <w:pStyle w:val="ListParagraph"/>
        <w:numPr>
          <w:ilvl w:val="0"/>
          <w:numId w:val="2"/>
        </w:numPr>
        <w:spacing w:after="40" w:before="40"/>
      </w:pPr>
      <w:r>
        <w:rPr>
          <w:rFonts w:ascii="Calibri" w:cs="Calibri" w:eastAsia="Calibri" w:hAnsi="Calibri"/>
          <w:color w:val="1A1A1A"/>
          <w:sz w:val="20"/>
          <w:szCs w:val="20"/>
        </w:rPr>
        <w:t xml:space="preserve">All educational content, frameworks, worksheets, and training materials</w:t>
      </w:r>
    </w:p>
    <w:p>
      <w:pPr>
        <w:pStyle w:val="ListParagraph"/>
        <w:numPr>
          <w:ilvl w:val="0"/>
          <w:numId w:val="2"/>
        </w:numPr>
        <w:spacing w:after="40" w:before="40"/>
      </w:pPr>
      <w:r>
        <w:rPr>
          <w:rFonts w:ascii="Calibri" w:cs="Calibri" w:eastAsia="Calibri" w:hAnsi="Calibri"/>
          <w:color w:val="1A1A1A"/>
          <w:sz w:val="20"/>
          <w:szCs w:val="20"/>
        </w:rPr>
        <w:t xml:space="preserve">Platform design, user interface, user experience, and visual presentation</w:t>
      </w:r>
    </w:p>
    <w:p>
      <w:pPr>
        <w:pStyle w:val="ListParagraph"/>
        <w:numPr>
          <w:ilvl w:val="0"/>
          <w:numId w:val="2"/>
        </w:numPr>
        <w:spacing w:after="40" w:before="40"/>
      </w:pPr>
      <w:r>
        <w:rPr>
          <w:rFonts w:ascii="Calibri" w:cs="Calibri" w:eastAsia="Calibri" w:hAnsi="Calibri"/>
          <w:color w:val="1A1A1A"/>
          <w:sz w:val="20"/>
          <w:szCs w:val="20"/>
        </w:rPr>
        <w:t xml:space="preserve">All software code, algorithms, and technical implementations</w:t>
      </w:r>
    </w:p>
    <w:p>
      <w:pPr>
        <w:pStyle w:val="ListParagraph"/>
        <w:numPr>
          <w:ilvl w:val="0"/>
          <w:numId w:val="2"/>
        </w:numPr>
        <w:spacing w:after="40" w:before="40"/>
      </w:pPr>
      <w:r>
        <w:rPr>
          <w:rFonts w:ascii="Calibri" w:cs="Calibri" w:eastAsia="Calibri" w:hAnsi="Calibri"/>
          <w:color w:val="1A1A1A"/>
          <w:sz w:val="20"/>
          <w:szCs w:val="20"/>
        </w:rPr>
        <w:t xml:space="preserve">All branding, trade dress, and visual identity elements.</w:t>
      </w:r>
    </w:p>
    <w:p>
      <w:pPr>
        <w:pStyle w:val="Heading2"/>
        <w:spacing w:after="100" w:before="300"/>
      </w:pPr>
      <w:r>
        <w:rPr>
          <w:rFonts w:ascii="Calibri" w:cs="Calibri" w:eastAsia="Calibri" w:hAnsi="Calibri"/>
          <w:b/>
          <w:bCs/>
          <w:color w:val="1A1A1A"/>
          <w:sz w:val="22"/>
          <w:szCs w:val="22"/>
        </w:rPr>
        <w:t xml:space="preserve">1.2 Trade Secret Protection</w:t>
      </w:r>
    </w:p>
    <w:p>
      <w:pPr>
        <w:spacing w:after="60" w:before="60"/>
        <w:jc w:val="left"/>
      </w:pPr>
      <w:r>
        <w:rPr>
          <w:rFonts w:ascii="Calibri" w:cs="Calibri" w:eastAsia="Calibri" w:hAnsi="Calibri"/>
          <w:b w:val="false"/>
          <w:bCs w:val="false"/>
          <w:i w:val="false"/>
          <w:iCs w:val="false"/>
          <w:color w:val="1A1A1A"/>
          <w:sz w:val="20"/>
          <w:szCs w:val="20"/>
        </w:rPr>
        <w:t xml:space="preserve">The Proprietary Frameworks, Decision Engine, Business Health Framework, scoring methodologies, recommendation logic, AI prompt architecture, and Assessment question structure constitute trade secrets of Panache Hair Company LLC protected under the Defend Trade Secrets Act, 18 U.S.C. § 1836 et seq., the Georgia Trade Secrets Act, O.C.G.A. § 10-1-760 et seq., and applicable common law.</w:t>
      </w:r>
    </w:p>
    <w:p>
      <w:pPr>
        <w:spacing w:after="60" w:before="60"/>
        <w:jc w:val="left"/>
      </w:pPr>
      <w:r>
        <w:rPr>
          <w:rFonts w:ascii="Calibri" w:cs="Calibri" w:eastAsia="Calibri" w:hAnsi="Calibri"/>
          <w:b w:val="false"/>
          <w:bCs w:val="false"/>
          <w:i w:val="false"/>
          <w:iCs w:val="false"/>
          <w:color w:val="1A1A1A"/>
          <w:sz w:val="20"/>
          <w:szCs w:val="20"/>
        </w:rPr>
        <w:t xml:space="preserve">These trade secrets represent years of proprietary research, development, and refinement. Any unauthorized access to, disclosure of, use of, or attempt to reverse engineer these assets constitutes a misappropriation of trade secrets and shall subject the offending party to both civil and criminal liability, injunctive relief, and all other available legal remedies.</w:t>
      </w:r>
    </w:p>
    <w:p>
      <w:pPr>
        <w:pStyle w:val="Heading1"/>
        <w:pBdr>
          <w:bottom w:val="single" w:color="000000" w:sz="6" w:space="4"/>
        </w:pBdr>
        <w:spacing w:after="120" w:before="400"/>
      </w:pPr>
      <w:r>
        <w:rPr>
          <w:rFonts w:ascii="Georgia" w:cs="Georgia" w:eastAsia="Georgia" w:hAnsi="Georgia"/>
          <w:b/>
          <w:bCs/>
          <w:color w:val="000000"/>
          <w:sz w:val="26"/>
          <w:szCs w:val="26"/>
        </w:rPr>
        <w:t xml:space="preserve">2. User Ownership and Data</w:t>
      </w:r>
    </w:p>
    <w:p>
      <w:pPr>
        <w:pStyle w:val="Heading2"/>
        <w:spacing w:after="100" w:before="300"/>
      </w:pPr>
      <w:r>
        <w:rPr>
          <w:rFonts w:ascii="Calibri" w:cs="Calibri" w:eastAsia="Calibri" w:hAnsi="Calibri"/>
          <w:b/>
          <w:bCs/>
          <w:color w:val="1A1A1A"/>
          <w:sz w:val="22"/>
          <w:szCs w:val="22"/>
        </w:rPr>
        <w:t xml:space="preserve">2.1 User Business Information</w:t>
      </w:r>
    </w:p>
    <w:p>
      <w:pPr>
        <w:spacing w:after="60" w:before="60"/>
        <w:jc w:val="left"/>
      </w:pPr>
      <w:r>
        <w:rPr>
          <w:rFonts w:ascii="Calibri" w:cs="Calibri" w:eastAsia="Calibri" w:hAnsi="Calibri"/>
          <w:b w:val="false"/>
          <w:bCs w:val="false"/>
          <w:i w:val="false"/>
          <w:iCs w:val="false"/>
          <w:color w:val="1A1A1A"/>
          <w:sz w:val="20"/>
          <w:szCs w:val="20"/>
        </w:rPr>
        <w:t xml:space="preserve">You retain all ownership rights in the business information, data, and responses you submit through the Assessment ("User Submissions"). You represent and warrant that you have the right to submit all information provided through the Platform.</w:t>
      </w:r>
    </w:p>
    <w:p>
      <w:pPr>
        <w:pStyle w:val="Heading2"/>
        <w:spacing w:after="100" w:before="300"/>
      </w:pPr>
      <w:r>
        <w:rPr>
          <w:rFonts w:ascii="Calibri" w:cs="Calibri" w:eastAsia="Calibri" w:hAnsi="Calibri"/>
          <w:b/>
          <w:bCs/>
          <w:color w:val="1A1A1A"/>
          <w:sz w:val="22"/>
          <w:szCs w:val="22"/>
        </w:rPr>
        <w:t xml:space="preserve">2.2 License Grant to Company</w:t>
      </w:r>
    </w:p>
    <w:p>
      <w:pPr>
        <w:spacing w:after="60" w:before="60"/>
        <w:jc w:val="left"/>
      </w:pPr>
      <w:r>
        <w:rPr>
          <w:rFonts w:ascii="Calibri" w:cs="Calibri" w:eastAsia="Calibri" w:hAnsi="Calibri"/>
          <w:b w:val="false"/>
          <w:bCs w:val="false"/>
          <w:i w:val="false"/>
          <w:iCs w:val="false"/>
          <w:color w:val="1A1A1A"/>
          <w:sz w:val="20"/>
          <w:szCs w:val="20"/>
        </w:rPr>
        <w:t xml:space="preserve">By submitting information through the Platform, you grant Panache Hair Company LLC a limited, non-exclusive, worldwide, royalty-free license to:</w:t>
      </w:r>
    </w:p>
    <w:p>
      <w:pPr>
        <w:pStyle w:val="ListParagraph"/>
        <w:numPr>
          <w:ilvl w:val="0"/>
          <w:numId w:val="2"/>
        </w:numPr>
        <w:spacing w:after="40" w:before="40"/>
      </w:pPr>
      <w:r>
        <w:rPr>
          <w:rFonts w:ascii="Calibri" w:cs="Calibri" w:eastAsia="Calibri" w:hAnsi="Calibri"/>
          <w:color w:val="1A1A1A"/>
          <w:sz w:val="20"/>
          <w:szCs w:val="20"/>
        </w:rPr>
        <w:t xml:space="preserve">Process and analyze your submitted information for the purpose of generating your personalized Report;</w:t>
      </w:r>
    </w:p>
    <w:p>
      <w:pPr>
        <w:pStyle w:val="ListParagraph"/>
        <w:numPr>
          <w:ilvl w:val="0"/>
          <w:numId w:val="2"/>
        </w:numPr>
        <w:spacing w:after="40" w:before="40"/>
      </w:pPr>
      <w:r>
        <w:rPr>
          <w:rFonts w:ascii="Calibri" w:cs="Calibri" w:eastAsia="Calibri" w:hAnsi="Calibri"/>
          <w:color w:val="1A1A1A"/>
          <w:sz w:val="20"/>
          <w:szCs w:val="20"/>
        </w:rPr>
        <w:t xml:space="preserve">Use your submitted information in aggregated, de-identified form to improve the Platform, its algorithms, and the accuracy of its frameworks;</w:t>
      </w:r>
    </w:p>
    <w:p>
      <w:pPr>
        <w:pStyle w:val="ListParagraph"/>
        <w:numPr>
          <w:ilvl w:val="0"/>
          <w:numId w:val="2"/>
        </w:numPr>
        <w:spacing w:after="40" w:before="40"/>
      </w:pPr>
      <w:r>
        <w:rPr>
          <w:rFonts w:ascii="Calibri" w:cs="Calibri" w:eastAsia="Calibri" w:hAnsi="Calibri"/>
          <w:color w:val="1A1A1A"/>
          <w:sz w:val="20"/>
          <w:szCs w:val="20"/>
        </w:rPr>
        <w:t xml:space="preserve">Store and maintain your submitted information in accordance with the Privacy Policy.</w:t>
      </w:r>
    </w:p>
    <w:p>
      <w:pPr>
        <w:spacing w:after="60" w:before="60"/>
        <w:jc w:val="left"/>
      </w:pPr>
      <w:r>
        <w:rPr>
          <w:rFonts w:ascii="Calibri" w:cs="Calibri" w:eastAsia="Calibri" w:hAnsi="Calibri"/>
          <w:b w:val="false"/>
          <w:bCs w:val="false"/>
          <w:i w:val="false"/>
          <w:iCs w:val="false"/>
          <w:color w:val="1A1A1A"/>
          <w:sz w:val="20"/>
          <w:szCs w:val="20"/>
        </w:rPr>
        <w:t xml:space="preserve">This license does not permit the Company to sell your identified personal or business information to third parties.</w:t>
      </w:r>
    </w:p>
    <w:p>
      <w:pPr>
        <w:pStyle w:val="Heading1"/>
        <w:pBdr>
          <w:bottom w:val="single" w:color="000000" w:sz="6" w:space="4"/>
        </w:pBdr>
        <w:spacing w:after="120" w:before="400"/>
      </w:pPr>
      <w:r>
        <w:rPr>
          <w:rFonts w:ascii="Georgia" w:cs="Georgia" w:eastAsia="Georgia" w:hAnsi="Georgia"/>
          <w:b/>
          <w:bCs/>
          <w:color w:val="000000"/>
          <w:sz w:val="26"/>
          <w:szCs w:val="26"/>
        </w:rPr>
        <w:t xml:space="preserve">3. User License to Reports</w:t>
      </w:r>
    </w:p>
    <w:p>
      <w:pPr>
        <w:pStyle w:val="Heading2"/>
        <w:spacing w:after="100" w:before="300"/>
      </w:pPr>
      <w:r>
        <w:rPr>
          <w:rFonts w:ascii="Calibri" w:cs="Calibri" w:eastAsia="Calibri" w:hAnsi="Calibri"/>
          <w:b/>
          <w:bCs/>
          <w:color w:val="1A1A1A"/>
          <w:sz w:val="22"/>
          <w:szCs w:val="22"/>
        </w:rPr>
        <w:t xml:space="preserve">3.1 Limited Personal License</w:t>
      </w:r>
    </w:p>
    <w:p>
      <w:pPr>
        <w:spacing w:after="60" w:before="60"/>
        <w:jc w:val="left"/>
      </w:pPr>
      <w:r>
        <w:rPr>
          <w:rFonts w:ascii="Calibri" w:cs="Calibri" w:eastAsia="Calibri" w:hAnsi="Calibri"/>
          <w:b w:val="false"/>
          <w:bCs w:val="false"/>
          <w:i w:val="false"/>
          <w:iCs w:val="false"/>
          <w:color w:val="1A1A1A"/>
          <w:sz w:val="20"/>
          <w:szCs w:val="20"/>
        </w:rPr>
        <w:t xml:space="preserve">Subject to your compliance with this IP Policy and all other applicable terms, the Company grants you a limited, personal, non-exclusive, non-transferable, non-sublicensable, revocable license to:</w:t>
      </w:r>
    </w:p>
    <w:p>
      <w:pPr>
        <w:pStyle w:val="ListParagraph"/>
        <w:numPr>
          <w:ilvl w:val="0"/>
          <w:numId w:val="2"/>
        </w:numPr>
        <w:spacing w:after="40" w:before="40"/>
      </w:pPr>
      <w:r>
        <w:rPr>
          <w:rFonts w:ascii="Calibri" w:cs="Calibri" w:eastAsia="Calibri" w:hAnsi="Calibri"/>
          <w:color w:val="1A1A1A"/>
          <w:sz w:val="20"/>
          <w:szCs w:val="20"/>
        </w:rPr>
        <w:t xml:space="preserve">Access and view your Report within the Platform;</w:t>
      </w:r>
    </w:p>
    <w:p>
      <w:pPr>
        <w:pStyle w:val="ListParagraph"/>
        <w:numPr>
          <w:ilvl w:val="0"/>
          <w:numId w:val="2"/>
        </w:numPr>
        <w:spacing w:after="40" w:before="40"/>
      </w:pPr>
      <w:r>
        <w:rPr>
          <w:rFonts w:ascii="Calibri" w:cs="Calibri" w:eastAsia="Calibri" w:hAnsi="Calibri"/>
          <w:color w:val="1A1A1A"/>
          <w:sz w:val="20"/>
          <w:szCs w:val="20"/>
        </w:rPr>
        <w:t xml:space="preserve">Download and retain a personal copy of your Report for your own internal business reference and planning purposes;</w:t>
      </w:r>
    </w:p>
    <w:p>
      <w:pPr>
        <w:pStyle w:val="ListParagraph"/>
        <w:numPr>
          <w:ilvl w:val="0"/>
          <w:numId w:val="2"/>
        </w:numPr>
        <w:spacing w:after="40" w:before="40"/>
      </w:pPr>
      <w:r>
        <w:rPr>
          <w:rFonts w:ascii="Calibri" w:cs="Calibri" w:eastAsia="Calibri" w:hAnsi="Calibri"/>
          <w:color w:val="1A1A1A"/>
          <w:sz w:val="20"/>
          <w:szCs w:val="20"/>
        </w:rPr>
        <w:t xml:space="preserve">Share your Report with your own business advisors (such as your accountant, business coach, or attorney) solely for the purpose of obtaining advice regarding your own business.</w:t>
      </w:r>
    </w:p>
    <w:p>
      <w:pPr>
        <w:pStyle w:val="Heading2"/>
        <w:spacing w:after="100" w:before="300"/>
      </w:pPr>
      <w:r>
        <w:rPr>
          <w:rFonts w:ascii="Calibri" w:cs="Calibri" w:eastAsia="Calibri" w:hAnsi="Calibri"/>
          <w:b/>
          <w:bCs/>
          <w:color w:val="1A1A1A"/>
          <w:sz w:val="22"/>
          <w:szCs w:val="22"/>
        </w:rPr>
        <w:t xml:space="preserve">3.2 Restrictions on Report Use</w:t>
      </w:r>
    </w:p>
    <w:p>
      <w:pPr>
        <w:spacing w:after="60" w:before="60"/>
        <w:jc w:val="left"/>
      </w:pPr>
      <w:r>
        <w:rPr>
          <w:rFonts w:ascii="Calibri" w:cs="Calibri" w:eastAsia="Calibri" w:hAnsi="Calibri"/>
          <w:b w:val="false"/>
          <w:bCs w:val="false"/>
          <w:i w:val="false"/>
          <w:iCs w:val="false"/>
          <w:color w:val="1A1A1A"/>
          <w:sz w:val="20"/>
          <w:szCs w:val="20"/>
        </w:rPr>
        <w:t xml:space="preserve">The User license described in Section 3.1 is strictly limited. You expressly acknowledge that your Report contains the Company's Proprietary Frameworks embedded in its structure, analysis, and presentation, and that your right to use the Report does not constitute a transfer of ownership of any Company IP. Accordingly, you agree that you SHALL NOT:</w:t>
      </w:r>
    </w:p>
    <w:p>
      <w:pPr>
        <w:pStyle w:val="ListParagraph"/>
        <w:numPr>
          <w:ilvl w:val="0"/>
          <w:numId w:val="2"/>
        </w:numPr>
        <w:spacing w:after="40" w:before="40"/>
      </w:pPr>
      <w:r>
        <w:rPr>
          <w:rFonts w:ascii="Calibri" w:cs="Calibri" w:eastAsia="Calibri" w:hAnsi="Calibri"/>
          <w:color w:val="1A1A1A"/>
          <w:sz w:val="20"/>
          <w:szCs w:val="20"/>
        </w:rPr>
        <w:t xml:space="preserve">Reproduce, distribute, publish, display, or transmit any Report or portion thereof for commercial purposes;</w:t>
      </w:r>
    </w:p>
    <w:p>
      <w:pPr>
        <w:pStyle w:val="ListParagraph"/>
        <w:numPr>
          <w:ilvl w:val="0"/>
          <w:numId w:val="2"/>
        </w:numPr>
        <w:spacing w:after="40" w:before="40"/>
      </w:pPr>
      <w:r>
        <w:rPr>
          <w:rFonts w:ascii="Calibri" w:cs="Calibri" w:eastAsia="Calibri" w:hAnsi="Calibri"/>
          <w:color w:val="1A1A1A"/>
          <w:sz w:val="20"/>
          <w:szCs w:val="20"/>
        </w:rPr>
        <w:t xml:space="preserve">Share, post, publish, or disclose any Report on public or semi-public platforms in any manner that would expose the Company's Proprietary Frameworks or methodologies to third parties;</w:t>
      </w:r>
    </w:p>
    <w:p>
      <w:pPr>
        <w:pStyle w:val="ListParagraph"/>
        <w:numPr>
          <w:ilvl w:val="0"/>
          <w:numId w:val="2"/>
        </w:numPr>
        <w:spacing w:after="40" w:before="40"/>
      </w:pPr>
      <w:r>
        <w:rPr>
          <w:rFonts w:ascii="Calibri" w:cs="Calibri" w:eastAsia="Calibri" w:hAnsi="Calibri"/>
          <w:color w:val="1A1A1A"/>
          <w:sz w:val="20"/>
          <w:szCs w:val="20"/>
        </w:rPr>
        <w:t xml:space="preserve">Use any Report as the basis for creating competing products, services, assessments, or consulting offerings;</w:t>
      </w:r>
    </w:p>
    <w:p>
      <w:pPr>
        <w:pStyle w:val="ListParagraph"/>
        <w:numPr>
          <w:ilvl w:val="0"/>
          <w:numId w:val="2"/>
        </w:numPr>
        <w:spacing w:after="40" w:before="40"/>
      </w:pPr>
      <w:r>
        <w:rPr>
          <w:rFonts w:ascii="Calibri" w:cs="Calibri" w:eastAsia="Calibri" w:hAnsi="Calibri"/>
          <w:color w:val="1A1A1A"/>
          <w:sz w:val="20"/>
          <w:szCs w:val="20"/>
        </w:rPr>
        <w:t xml:space="preserve">Claim authorship of or represent that you own the analytical methodology reflected in any Report.</w:t>
      </w:r>
    </w:p>
    <w:p>
      <w:pPr>
        <w:pStyle w:val="Heading1"/>
        <w:pBdr>
          <w:bottom w:val="single" w:color="000000" w:sz="6" w:space="4"/>
        </w:pBdr>
        <w:spacing w:after="120" w:before="400"/>
      </w:pPr>
      <w:r>
        <w:rPr>
          <w:rFonts w:ascii="Georgia" w:cs="Georgia" w:eastAsia="Georgia" w:hAnsi="Georgia"/>
          <w:b/>
          <w:bCs/>
          <w:color w:val="000000"/>
          <w:sz w:val="26"/>
          <w:szCs w:val="26"/>
        </w:rPr>
        <w:t xml:space="preserve">4. Prohibited Activities — Comprehensive Restrictions</w:t>
      </w:r>
    </w:p>
    <w:p>
      <w:pPr>
        <w:spacing w:after="60" w:before="60"/>
        <w:jc w:val="left"/>
      </w:pPr>
      <w:r>
        <w:rPr>
          <w:rFonts w:ascii="Calibri" w:cs="Calibri" w:eastAsia="Calibri" w:hAnsi="Calibri"/>
          <w:b w:val="false"/>
          <w:bCs w:val="false"/>
          <w:i w:val="false"/>
          <w:iCs w:val="false"/>
          <w:color w:val="1A1A1A"/>
          <w:sz w:val="20"/>
          <w:szCs w:val="20"/>
        </w:rPr>
        <w:t xml:space="preserve">In addition to the restrictions set forth in the Terms and Conditions, you expressly agree that you SHALL NOT, under any circumstances:</w:t>
      </w:r>
    </w:p>
    <w:p>
      <w:pPr>
        <w:pStyle w:val="Heading2"/>
        <w:spacing w:after="100" w:before="300"/>
      </w:pPr>
      <w:r>
        <w:rPr>
          <w:rFonts w:ascii="Calibri" w:cs="Calibri" w:eastAsia="Calibri" w:hAnsi="Calibri"/>
          <w:b/>
          <w:bCs/>
          <w:color w:val="1A1A1A"/>
          <w:sz w:val="22"/>
          <w:szCs w:val="22"/>
        </w:rPr>
        <w:t xml:space="preserve">4.1 Reverse Engineering Prohibition</w:t>
      </w:r>
    </w:p>
    <w:p>
      <w:pPr>
        <w:spacing w:after="60" w:before="60"/>
        <w:jc w:val="left"/>
      </w:pPr>
      <w:r>
        <w:rPr>
          <w:rFonts w:ascii="Calibri" w:cs="Calibri" w:eastAsia="Calibri" w:hAnsi="Calibri"/>
          <w:b w:val="false"/>
          <w:bCs w:val="false"/>
          <w:i w:val="false"/>
          <w:iCs w:val="false"/>
          <w:color w:val="1A1A1A"/>
          <w:sz w:val="20"/>
          <w:szCs w:val="20"/>
        </w:rPr>
        <w:t xml:space="preserve">Attempt, directly or indirectly, to reverse engineer, decompile, disassemble, decode, reconstruct, or otherwise derive the source code, algorithms, scoring methodologies, question logic, decision trees, weighting systems, or any other aspect of the Company's Proprietary Frameworks, Decision Engine, Assessment structure, or AI systems. This prohibition applies regardless of the means used, including manual analysis of outputs, automated testing, or any other method designed to infer the underlying methodology.</w:t>
      </w:r>
    </w:p>
    <w:p>
      <w:pPr>
        <w:pStyle w:val="Heading2"/>
        <w:spacing w:after="100" w:before="300"/>
      </w:pPr>
      <w:r>
        <w:rPr>
          <w:rFonts w:ascii="Calibri" w:cs="Calibri" w:eastAsia="Calibri" w:hAnsi="Calibri"/>
          <w:b/>
          <w:bCs/>
          <w:color w:val="1A1A1A"/>
          <w:sz w:val="22"/>
          <w:szCs w:val="22"/>
        </w:rPr>
        <w:t xml:space="preserve">4.2 Reproduction and Distribution Prohibition</w:t>
      </w:r>
    </w:p>
    <w:p>
      <w:pPr>
        <w:spacing w:after="60" w:before="60"/>
        <w:jc w:val="left"/>
      </w:pPr>
      <w:r>
        <w:rPr>
          <w:rFonts w:ascii="Calibri" w:cs="Calibri" w:eastAsia="Calibri" w:hAnsi="Calibri"/>
          <w:b w:val="false"/>
          <w:bCs w:val="false"/>
          <w:i w:val="false"/>
          <w:iCs w:val="false"/>
          <w:color w:val="1A1A1A"/>
          <w:sz w:val="20"/>
          <w:szCs w:val="20"/>
        </w:rPr>
        <w:t xml:space="preserve">Reproduce, copy, duplicate, archive, store (other than for personal reference), distribute, sell, sublicense, or otherwise make available any portion of the Platform, its content, Reports, educational materials, or Company IP to any third party for any commercial purpose.</w:t>
      </w:r>
    </w:p>
    <w:p>
      <w:pPr>
        <w:pStyle w:val="Heading2"/>
        <w:spacing w:after="100" w:before="300"/>
      </w:pPr>
      <w:r>
        <w:rPr>
          <w:rFonts w:ascii="Calibri" w:cs="Calibri" w:eastAsia="Calibri" w:hAnsi="Calibri"/>
          <w:b/>
          <w:bCs/>
          <w:color w:val="1A1A1A"/>
          <w:sz w:val="22"/>
          <w:szCs w:val="22"/>
        </w:rPr>
        <w:t xml:space="preserve">4.3 AI Training Prohibition</w:t>
      </w:r>
    </w:p>
    <w:p>
      <w:pPr>
        <w:spacing w:after="60" w:before="60"/>
        <w:jc w:val="left"/>
      </w:pPr>
      <w:r>
        <w:rPr>
          <w:rFonts w:ascii="Calibri" w:cs="Calibri" w:eastAsia="Calibri" w:hAnsi="Calibri"/>
          <w:b w:val="false"/>
          <w:bCs w:val="false"/>
          <w:i w:val="false"/>
          <w:iCs w:val="false"/>
          <w:color w:val="1A1A1A"/>
          <w:sz w:val="20"/>
          <w:szCs w:val="20"/>
        </w:rPr>
        <w:t xml:space="preserve">Use, submit, or incorporate any Reports, Assessment questions, Platform content, Company IP, or any outputs generated by the Platform as training data, fine-tuning data, evaluation data, or in any other capacity for the development, training, improvement, or evaluation of artificial intelligence models, machine learning systems, large language models, or any similar technology. This prohibition applies to your own AI development activities as well as providing such information to third parties for AI development purposes.</w:t>
      </w:r>
    </w:p>
    <w:p>
      <w:pPr>
        <w:pStyle w:val="Heading2"/>
        <w:spacing w:after="100" w:before="300"/>
      </w:pPr>
      <w:r>
        <w:rPr>
          <w:rFonts w:ascii="Calibri" w:cs="Calibri" w:eastAsia="Calibri" w:hAnsi="Calibri"/>
          <w:b/>
          <w:bCs/>
          <w:color w:val="1A1A1A"/>
          <w:sz w:val="22"/>
          <w:szCs w:val="22"/>
        </w:rPr>
        <w:t xml:space="preserve">4.4 Competitive Use Prohibition</w:t>
      </w:r>
    </w:p>
    <w:p>
      <w:pPr>
        <w:spacing w:after="60" w:before="60"/>
        <w:jc w:val="left"/>
      </w:pPr>
      <w:r>
        <w:rPr>
          <w:rFonts w:ascii="Calibri" w:cs="Calibri" w:eastAsia="Calibri" w:hAnsi="Calibri"/>
          <w:b w:val="false"/>
          <w:bCs w:val="false"/>
          <w:i w:val="false"/>
          <w:iCs w:val="false"/>
          <w:color w:val="1A1A1A"/>
          <w:sz w:val="20"/>
          <w:szCs w:val="20"/>
        </w:rPr>
        <w:t xml:space="preserve">Use the Platform, Assessment, Reports, or any Company IP to develop, create, offer, market, or sell any competing product, service, platform, assessment, consulting methodology, training program, or business framework that is based on, derived from, or substantially similar to any aspect of the Company's Proprietary Frameworks, Assessment structure, or Platform methodology. This prohibition applies regardless of whether such competitive product is offered commercially or at no charge.</w:t>
      </w:r>
    </w:p>
    <w:p>
      <w:pPr>
        <w:pStyle w:val="Heading2"/>
        <w:spacing w:after="100" w:before="300"/>
      </w:pPr>
      <w:r>
        <w:rPr>
          <w:rFonts w:ascii="Calibri" w:cs="Calibri" w:eastAsia="Calibri" w:hAnsi="Calibri"/>
          <w:b/>
          <w:bCs/>
          <w:color w:val="1A1A1A"/>
          <w:sz w:val="22"/>
          <w:szCs w:val="22"/>
        </w:rPr>
        <w:t xml:space="preserve">4.5 Scraping and Extraction Prohibition</w:t>
      </w:r>
    </w:p>
    <w:p>
      <w:pPr>
        <w:spacing w:after="60" w:before="60"/>
        <w:jc w:val="left"/>
      </w:pPr>
      <w:r>
        <w:rPr>
          <w:rFonts w:ascii="Calibri" w:cs="Calibri" w:eastAsia="Calibri" w:hAnsi="Calibri"/>
          <w:b w:val="false"/>
          <w:bCs w:val="false"/>
          <w:i w:val="false"/>
          <w:iCs w:val="false"/>
          <w:color w:val="1A1A1A"/>
          <w:sz w:val="20"/>
          <w:szCs w:val="20"/>
        </w:rPr>
        <w:t xml:space="preserve">Use automated tools, bots, scrapers, or any other technical means to extract, harvest, or systematically collect Assessment questions, Report structures, Platform content, Company IP, or any other information from the Platform for any purpose.</w:t>
      </w:r>
    </w:p>
    <w:p>
      <w:pPr>
        <w:pStyle w:val="Heading2"/>
        <w:spacing w:after="100" w:before="300"/>
      </w:pPr>
      <w:r>
        <w:rPr>
          <w:rFonts w:ascii="Calibri" w:cs="Calibri" w:eastAsia="Calibri" w:hAnsi="Calibri"/>
          <w:b/>
          <w:bCs/>
          <w:color w:val="1A1A1A"/>
          <w:sz w:val="22"/>
          <w:szCs w:val="22"/>
        </w:rPr>
        <w:t xml:space="preserve">4.6 Redistribution and Resale Prohibition</w:t>
      </w:r>
    </w:p>
    <w:p>
      <w:pPr>
        <w:spacing w:after="60" w:before="60"/>
        <w:jc w:val="left"/>
      </w:pPr>
      <w:r>
        <w:rPr>
          <w:rFonts w:ascii="Calibri" w:cs="Calibri" w:eastAsia="Calibri" w:hAnsi="Calibri"/>
          <w:b w:val="false"/>
          <w:bCs w:val="false"/>
          <w:i w:val="false"/>
          <w:iCs w:val="false"/>
          <w:color w:val="1A1A1A"/>
          <w:sz w:val="20"/>
          <w:szCs w:val="20"/>
        </w:rPr>
        <w:t xml:space="preserve">Redistribute, resell, or make commercially available to any third party any Report, Assessment output, Platform content, or educational materials generated through the Platform, whether in original or modified form.</w:t>
      </w:r>
    </w:p>
    <w:p>
      <w:pPr>
        <w:spacing w:after="70" w:before="200"/>
      </w:pPr>
      <w:r>
        <w:rPr>
          <w:rFonts w:ascii="Calibri" w:cs="Calibri" w:eastAsia="Calibri" w:hAnsi="Calibri"/>
          <w:b/>
          <w:bCs/>
          <w:color w:val="4A4A4A"/>
          <w:sz w:val="20"/>
          <w:szCs w:val="20"/>
          <w:u w:val="single"/>
        </w:rPr>
        <w:t xml:space="preserve">4.7 Derivative Works Prohibition</w:t>
      </w:r>
    </w:p>
    <w:p>
      <w:pPr>
        <w:spacing w:after="60" w:before="60"/>
        <w:jc w:val="left"/>
      </w:pPr>
      <w:r>
        <w:rPr>
          <w:rFonts w:ascii="Calibri" w:cs="Calibri" w:eastAsia="Calibri" w:hAnsi="Calibri"/>
          <w:b w:val="false"/>
          <w:bCs w:val="false"/>
          <w:i w:val="false"/>
          <w:iCs w:val="false"/>
          <w:color w:val="1A1A1A"/>
          <w:sz w:val="20"/>
          <w:szCs w:val="20"/>
        </w:rPr>
        <w:t xml:space="preserve">Create derivative works based on any Report, Platform content, educational materials, or Company IP, including but not limited to modified Reports, frameworks based on the Company's methodology, training materials derived from the Assessment structure, or coaching systems derived from the Company's Proprietary Frameworks.</w:t>
      </w:r>
    </w:p>
    <w:p>
      <w:pPr>
        <w:pStyle w:val="Heading1"/>
        <w:pBdr>
          <w:bottom w:val="single" w:color="000000" w:sz="6" w:space="4"/>
        </w:pBdr>
        <w:spacing w:after="120" w:before="400"/>
      </w:pPr>
      <w:r>
        <w:rPr>
          <w:rFonts w:ascii="Georgia" w:cs="Georgia" w:eastAsia="Georgia" w:hAnsi="Georgia"/>
          <w:b/>
          <w:bCs/>
          <w:color w:val="000000"/>
          <w:sz w:val="26"/>
          <w:szCs w:val="26"/>
        </w:rPr>
        <w:t xml:space="preserve">5. Enforcement</w:t>
      </w:r>
    </w:p>
    <w:p>
      <w:pPr>
        <w:pStyle w:val="Heading2"/>
        <w:spacing w:after="100" w:before="300"/>
      </w:pPr>
      <w:r>
        <w:rPr>
          <w:rFonts w:ascii="Calibri" w:cs="Calibri" w:eastAsia="Calibri" w:hAnsi="Calibri"/>
          <w:b/>
          <w:bCs/>
          <w:color w:val="1A1A1A"/>
          <w:sz w:val="22"/>
          <w:szCs w:val="22"/>
        </w:rPr>
        <w:t xml:space="preserve">5.1 Remedies</w:t>
      </w:r>
    </w:p>
    <w:p>
      <w:pPr>
        <w:spacing w:after="60" w:before="60"/>
        <w:jc w:val="left"/>
      </w:pPr>
      <w:r>
        <w:rPr>
          <w:rFonts w:ascii="Calibri" w:cs="Calibri" w:eastAsia="Calibri" w:hAnsi="Calibri"/>
          <w:b w:val="false"/>
          <w:bCs w:val="false"/>
          <w:i w:val="false"/>
          <w:iCs w:val="false"/>
          <w:color w:val="1A1A1A"/>
          <w:sz w:val="20"/>
          <w:szCs w:val="20"/>
        </w:rPr>
        <w:t xml:space="preserve">Any violation of this IP Policy constitutes a material breach of the Terms and Conditions and may result in immediate termination of your access to the Platform. The Company reserves all rights to pursue all available legal remedies for intellectual property infringement, trade secret misappropriation, breach of contract, and unfair business practices, including:</w:t>
      </w:r>
    </w:p>
    <w:p>
      <w:pPr>
        <w:pStyle w:val="ListParagraph"/>
        <w:numPr>
          <w:ilvl w:val="0"/>
          <w:numId w:val="2"/>
        </w:numPr>
        <w:spacing w:after="40" w:before="40"/>
      </w:pPr>
      <w:r>
        <w:rPr>
          <w:rFonts w:ascii="Calibri" w:cs="Calibri" w:eastAsia="Calibri" w:hAnsi="Calibri"/>
          <w:color w:val="1A1A1A"/>
          <w:sz w:val="20"/>
          <w:szCs w:val="20"/>
        </w:rPr>
        <w:t xml:space="preserve">Temporary and permanent injunctive relief;</w:t>
      </w:r>
    </w:p>
    <w:p>
      <w:pPr>
        <w:pStyle w:val="ListParagraph"/>
        <w:numPr>
          <w:ilvl w:val="0"/>
          <w:numId w:val="2"/>
        </w:numPr>
        <w:spacing w:after="40" w:before="40"/>
      </w:pPr>
      <w:r>
        <w:rPr>
          <w:rFonts w:ascii="Calibri" w:cs="Calibri" w:eastAsia="Calibri" w:hAnsi="Calibri"/>
          <w:color w:val="1A1A1A"/>
          <w:sz w:val="20"/>
          <w:szCs w:val="20"/>
        </w:rPr>
        <w:t xml:space="preserve">Compensatory and consequential damages;</w:t>
      </w:r>
    </w:p>
    <w:p>
      <w:pPr>
        <w:pStyle w:val="ListParagraph"/>
        <w:numPr>
          <w:ilvl w:val="0"/>
          <w:numId w:val="2"/>
        </w:numPr>
        <w:spacing w:after="40" w:before="40"/>
      </w:pPr>
      <w:r>
        <w:rPr>
          <w:rFonts w:ascii="Calibri" w:cs="Calibri" w:eastAsia="Calibri" w:hAnsi="Calibri"/>
          <w:color w:val="1A1A1A"/>
          <w:sz w:val="20"/>
          <w:szCs w:val="20"/>
        </w:rPr>
        <w:t xml:space="preserve">Disgorgement of profits derived from unauthorized use;</w:t>
      </w:r>
    </w:p>
    <w:p>
      <w:pPr>
        <w:pStyle w:val="ListParagraph"/>
        <w:numPr>
          <w:ilvl w:val="0"/>
          <w:numId w:val="2"/>
        </w:numPr>
        <w:spacing w:after="40" w:before="40"/>
      </w:pPr>
      <w:r>
        <w:rPr>
          <w:rFonts w:ascii="Calibri" w:cs="Calibri" w:eastAsia="Calibri" w:hAnsi="Calibri"/>
          <w:color w:val="1A1A1A"/>
          <w:sz w:val="20"/>
          <w:szCs w:val="20"/>
        </w:rPr>
        <w:t xml:space="preserve">Statutory damages where available;</w:t>
      </w:r>
    </w:p>
    <w:p>
      <w:pPr>
        <w:pStyle w:val="ListParagraph"/>
        <w:numPr>
          <w:ilvl w:val="0"/>
          <w:numId w:val="2"/>
        </w:numPr>
        <w:spacing w:after="40" w:before="40"/>
      </w:pPr>
      <w:r>
        <w:rPr>
          <w:rFonts w:ascii="Calibri" w:cs="Calibri" w:eastAsia="Calibri" w:hAnsi="Calibri"/>
          <w:color w:val="1A1A1A"/>
          <w:sz w:val="20"/>
          <w:szCs w:val="20"/>
        </w:rPr>
        <w:t xml:space="preserve">Attorneys' fees and litigation costs to the fullest extent permitted by law.</w:t>
      </w:r>
    </w:p>
    <w:p>
      <w:pPr>
        <w:pStyle w:val="Heading2"/>
        <w:spacing w:after="100" w:before="300"/>
      </w:pPr>
      <w:r>
        <w:rPr>
          <w:rFonts w:ascii="Calibri" w:cs="Calibri" w:eastAsia="Calibri" w:hAnsi="Calibri"/>
          <w:b/>
          <w:bCs/>
          <w:color w:val="1A1A1A"/>
          <w:sz w:val="22"/>
          <w:szCs w:val="22"/>
        </w:rPr>
        <w:t xml:space="preserve">5.2 Injunctive Relief</w:t>
      </w:r>
    </w:p>
    <w:p>
      <w:pPr>
        <w:spacing w:after="60" w:before="60"/>
        <w:jc w:val="left"/>
      </w:pPr>
      <w:r>
        <w:rPr>
          <w:rFonts w:ascii="Calibri" w:cs="Calibri" w:eastAsia="Calibri" w:hAnsi="Calibri"/>
          <w:b w:val="false"/>
          <w:bCs w:val="false"/>
          <w:i w:val="false"/>
          <w:iCs w:val="false"/>
          <w:color w:val="1A1A1A"/>
          <w:sz w:val="20"/>
          <w:szCs w:val="20"/>
        </w:rPr>
        <w:t xml:space="preserve">You acknowledge that any breach or threatened breach of this IP Policy would cause irreparable harm to the Company for which monetary damages would be an inadequate remedy. Accordingly, the Company shall be entitled to seek immediate injunctive relief, without the necessity of posting bond or other security, in addition to all other available remedies.</w:t>
      </w:r>
    </w:p>
    <w:p>
      <w:pPr>
        <w:pStyle w:val="Heading2"/>
        <w:spacing w:after="100" w:before="300"/>
      </w:pPr>
      <w:r>
        <w:rPr>
          <w:rFonts w:ascii="Calibri" w:cs="Calibri" w:eastAsia="Calibri" w:hAnsi="Calibri"/>
          <w:b/>
          <w:bCs/>
          <w:color w:val="1A1A1A"/>
          <w:sz w:val="22"/>
          <w:szCs w:val="22"/>
        </w:rPr>
        <w:t xml:space="preserve">5.3 Reporting Violations</w:t>
      </w:r>
    </w:p>
    <w:p>
      <w:pPr>
        <w:spacing w:after="60" w:before="60"/>
        <w:jc w:val="left"/>
      </w:pPr>
      <w:r>
        <w:rPr>
          <w:rFonts w:ascii="Calibri" w:cs="Calibri" w:eastAsia="Calibri" w:hAnsi="Calibri"/>
          <w:b w:val="false"/>
          <w:bCs w:val="false"/>
          <w:i w:val="false"/>
          <w:iCs w:val="false"/>
          <w:color w:val="1A1A1A"/>
          <w:sz w:val="20"/>
          <w:szCs w:val="20"/>
        </w:rPr>
        <w:t xml:space="preserve">If you become aware of any suspected violation of this IP Policy or any unauthorized use of Company IP, please report it promptly to: [legal@benitadavis.com].</w:t>
      </w:r>
    </w:p>
    <w:p>
      <w:pPr>
        <w:pStyle w:val="Heading1"/>
        <w:pBdr>
          <w:bottom w:val="single" w:color="000000" w:sz="6" w:space="4"/>
        </w:pBdr>
        <w:spacing w:after="120" w:before="400"/>
      </w:pPr>
      <w:r>
        <w:rPr>
          <w:rFonts w:ascii="Georgia" w:cs="Georgia" w:eastAsia="Georgia" w:hAnsi="Georgia"/>
          <w:b/>
          <w:bCs/>
          <w:color w:val="000000"/>
          <w:sz w:val="26"/>
          <w:szCs w:val="26"/>
        </w:rPr>
        <w:t xml:space="preserve">6. Contact Information</w:t>
      </w:r>
    </w:p>
    <w:p>
      <w:pPr>
        <w:spacing w:after="60" w:before="60"/>
        <w:jc w:val="left"/>
      </w:pPr>
      <w:r>
        <w:rPr>
          <w:rFonts w:ascii="Calibri" w:cs="Calibri" w:eastAsia="Calibri" w:hAnsi="Calibri"/>
          <w:b w:val="false"/>
          <w:bCs w:val="false"/>
          <w:i w:val="false"/>
          <w:iCs w:val="false"/>
          <w:color w:val="1A1A1A"/>
          <w:sz w:val="20"/>
          <w:szCs w:val="20"/>
        </w:rPr>
        <w:t xml:space="preserve">Questions regarding this IP Policy should be directed to:</w:t>
      </w:r>
    </w:p>
    <w:p>
      <w:pPr>
        <w:spacing w:after="10" w:before="20"/>
      </w:pPr>
    </w:p>
    <w:p>
      <w:pPr>
        <w:spacing w:after="60" w:before="60"/>
        <w:jc w:val="left"/>
      </w:pPr>
      <w:r>
        <w:rPr>
          <w:rFonts w:ascii="Calibri" w:cs="Calibri" w:eastAsia="Calibri" w:hAnsi="Calibri"/>
          <w:b/>
          <w:bCs/>
          <w:i w:val="false"/>
          <w:iCs w:val="false"/>
          <w:color w:val="1A1A1A"/>
          <w:sz w:val="20"/>
          <w:szCs w:val="20"/>
        </w:rPr>
        <w:t xml:space="preserve">Panache Hair Company LLC — Legal Department</w:t>
      </w:r>
    </w:p>
    <w:p>
      <w:pPr>
        <w:spacing w:after="60" w:before="60"/>
        <w:jc w:val="left"/>
      </w:pPr>
      <w:r>
        <w:rPr>
          <w:rFonts w:ascii="Calibri" w:cs="Calibri" w:eastAsia="Calibri" w:hAnsi="Calibri"/>
          <w:b w:val="false"/>
          <w:bCs w:val="false"/>
          <w:i w:val="false"/>
          <w:iCs w:val="false"/>
          <w:color w:val="1A1A1A"/>
          <w:sz w:val="20"/>
          <w:szCs w:val="20"/>
        </w:rPr>
        <w:t xml:space="preserve">Benita Davis, Your Healthy Hair Coach</w:t>
      </w:r>
    </w:p>
    <w:p>
      <w:pPr>
        <w:spacing w:after="60" w:before="60"/>
        <w:jc w:val="left"/>
      </w:pPr>
      <w:r>
        <w:rPr>
          <w:rFonts w:ascii="Calibri" w:cs="Calibri" w:eastAsia="Calibri" w:hAnsi="Calibri"/>
          <w:b w:val="false"/>
          <w:bCs w:val="false"/>
          <w:i w:val="false"/>
          <w:iCs w:val="false"/>
          <w:color w:val="1A1A1A"/>
          <w:sz w:val="20"/>
          <w:szCs w:val="20"/>
        </w:rPr>
        <w:t xml:space="preserve">Email: [legal@benitadavis.com]</w:t>
      </w:r>
    </w:p>
    <w:p>
      <w:pPr>
        <w:spacing w:after="60" w:before="60"/>
        <w:jc w:val="left"/>
      </w:pPr>
      <w:r>
        <w:rPr>
          <w:rFonts w:ascii="Calibri" w:cs="Calibri" w:eastAsia="Calibri" w:hAnsi="Calibri"/>
          <w:b w:val="false"/>
          <w:bCs w:val="false"/>
          <w:i w:val="false"/>
          <w:iCs w:val="false"/>
          <w:color w:val="1A1A1A"/>
          <w:sz w:val="20"/>
          <w:szCs w:val="20"/>
        </w:rPr>
        <w:t xml:space="preserve">Mailing Address: [Address, City, Georgia, ZIP]</w:t>
      </w:r>
    </w:p>
    <w:p>
      <w:pPr>
        <w:spacing w:after="20" w:before="60"/>
      </w:pPr>
    </w:p>
    <w:p>
      <w:pPr>
        <w:pBdr>
          <w:top w:val="single" w:color="CCCCCC" w:sz="4" w:space="4"/>
        </w:pBdr>
        <w:spacing w:after="20" w:before="0"/>
      </w:pPr>
      <w:r>
        <w:t xml:space="preserve"/>
      </w:r>
    </w:p>
    <w:p>
      <w:pPr>
        <w:spacing w:after="60" w:before="60"/>
        <w:jc w:val="left"/>
      </w:pPr>
      <w:r>
        <w:rPr>
          <w:rFonts w:ascii="Calibri" w:cs="Calibri" w:eastAsia="Calibri" w:hAnsi="Calibri"/>
          <w:b w:val="false"/>
          <w:bCs w:val="false"/>
          <w:i/>
          <w:iCs/>
          <w:color w:val="1A1A1A"/>
          <w:sz w:val="20"/>
          <w:szCs w:val="20"/>
        </w:rPr>
        <w:t xml:space="preserve">© 2026 Panache Hair Company LLC. All rights reserved. Benita Davis, Your Healthy Hair Coach is a registered trademark of Panache Hair Company LLC. Unauthorized use of any Company IP is strictly prohibited and will be prosecuted to the fullest extent of the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lvl w:ilvl="1" w15:tentative="1">
      <w:start w:val="1"/>
      <w:numFmt w:val="bullet"/>
      <w:lvlText w:val="◦"/>
      <w:lvlJc w:val="left"/>
      <w:pPr>
        <w:ind w:left="800" w:hanging="240"/>
      </w:pPr>
    </w:lvl>
  </w:abstractNum>
  <w:abstractNum w:abstractNumId="3" w15:restartNumberingAfterBreak="0">
    <w:multiLevelType w:val="hybridMultilevel"/>
    <w:lvl w:ilvl="0" w15:tentative="1">
      <w:start w:val="1"/>
      <w:numFmt w:val="decimal"/>
      <w:lvlText w:val="%1."/>
      <w:lvlJc w:val="left"/>
      <w:pPr>
        <w:ind w:left="480" w:hanging="240"/>
      </w:pPr>
    </w:lvl>
    <w:lvl w:ilvl="1" w15:tentative="1">
      <w:start w:val="1"/>
      <w:numFmt w:val="lowerLetter"/>
      <w:lvlText w:val="(%2)"/>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120" w:before="400"/>
      <w:outlineLvl w:val="0"/>
    </w:pPr>
    <w:rPr>
      <w:rFonts w:ascii="Georgia" w:cs="Georgia" w:eastAsia="Georgia" w:hAnsi="Georgia"/>
      <w:b/>
      <w:bCs/>
      <w:color w:val="000000"/>
      <w:sz w:val="26"/>
      <w:szCs w:val="26"/>
    </w:rPr>
  </w:style>
  <w:style w:type="paragraph" w:styleId="Heading2">
    <w:name w:val="Heading 2"/>
    <w:basedOn w:val="Normal"/>
    <w:next w:val="Normal"/>
    <w:pPr>
      <w:spacing w:after="100" w:before="300"/>
      <w:outlineLvl w:val="1"/>
    </w:pPr>
    <w:rPr>
      <w:rFonts w:ascii="Calibri" w:cs="Calibri" w:eastAsia="Calibri" w:hAnsi="Calibri"/>
      <w:b/>
      <w:bCs/>
      <w:color w:val="1A1A1A"/>
      <w:sz w:val="22"/>
      <w:szCs w:val="22"/>
    </w:rPr>
  </w:style>
  <w:style w:type="paragraph" w:styleId="Heading3">
    <w:name w:val="Heading 3"/>
    <w:basedOn w:val="Normal"/>
    <w:next w:val="Normal"/>
    <w:pPr>
      <w:spacing w:after="80" w:before="220"/>
      <w:outlineLvl w:val="2"/>
    </w:pPr>
    <w:rPr>
      <w:rFonts w:ascii="Calibri" w:cs="Calibri" w:eastAsia="Calibri" w:hAnsi="Calibri"/>
      <w:b/>
      <w:bCs/>
      <w:color w:val="4A4A4A"/>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2026-07-21T21:51:36.962Z</dcterms:created>
  <dcterms:modified xsi:type="dcterms:W3CDTF">2026-07-21T21:51:36.962Z</dcterms:modified>
</cp:coreProperties>
</file>

<file path=docProps/custom.xml><?xml version="1.0" encoding="utf-8"?>
<Properties xmlns="http://schemas.openxmlformats.org/officeDocument/2006/custom-properties" xmlns:vt="http://schemas.openxmlformats.org/officeDocument/2006/docPropsVTypes"/>
</file>