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0000" w:sz="12" w:space="6"/>
        </w:pBdr>
        <w:spacing w:after="0" w:before="0"/>
      </w:pPr>
      <w:r>
        <w:rPr>
          <w:rFonts w:ascii="Calibri" w:cs="Calibri" w:eastAsia="Calibri" w:hAnsi="Calibri"/>
          <w:b/>
          <w:bCs/>
          <w:caps/>
          <w:color w:val="777777"/>
          <w:spacing w:val="80"/>
          <w:sz w:val="20"/>
          <w:szCs w:val="20"/>
        </w:rPr>
        <w:t xml:space="preserve">PANACHE HAIR COMPANY LLC</w:t>
      </w:r>
    </w:p>
    <w:p>
      <w:pPr>
        <w:spacing w:after="4" w:before="8"/>
      </w:pPr>
      <w:r>
        <w:rPr>
          <w:rFonts w:ascii="Calibri" w:cs="Calibri" w:eastAsia="Calibri" w:hAnsi="Calibri"/>
          <w:i/>
          <w:iCs/>
          <w:color w:val="777777"/>
          <w:sz w:val="18"/>
          <w:szCs w:val="18"/>
        </w:rPr>
        <w:t xml:space="preserve">Benita Davis, Your Healthy Hair Coach</w:t>
      </w:r>
    </w:p>
    <w:p>
      <w:pPr>
        <w:spacing w:after="80" w:before="180"/>
      </w:pPr>
    </w:p>
    <w:p>
      <w:pPr>
        <w:spacing w:after="20" w:before="0"/>
        <w:jc w:val="left"/>
      </w:pPr>
      <w:r>
        <w:rPr>
          <w:rFonts w:ascii="Georgia" w:cs="Georgia" w:eastAsia="Georgia" w:hAnsi="Georgia"/>
          <w:b/>
          <w:bCs/>
          <w:color w:val="000000"/>
          <w:sz w:val="44"/>
          <w:szCs w:val="44"/>
        </w:rPr>
        <w:t xml:space="preserve">Privacy Policy</w:t>
      </w:r>
    </w:p>
    <w:p>
      <w:pPr>
        <w:spacing w:after="120" w:before="0"/>
        <w:jc w:val="left"/>
      </w:pPr>
      <w:r>
        <w:rPr>
          <w:rFonts w:ascii="Calibri" w:cs="Calibri" w:eastAsia="Calibri" w:hAnsi="Calibri"/>
          <w:color w:val="4A4A4A"/>
          <w:sz w:val="22"/>
          <w:szCs w:val="22"/>
        </w:rPr>
        <w:t xml:space="preserve">Benita Davis, Your Healthy Hair Coach — AI-Powered Business Assessment Platform</w:t>
      </w:r>
    </w:p>
    <w:p>
      <w:pPr>
        <w:pBdr>
          <w:top w:val="single" w:color="CCCCCC" w:sz="4" w:space="4"/>
        </w:pBdr>
        <w:spacing w:after="0" w:before="0"/>
      </w:pPr>
      <w:r>
        <w:t xml:space="preserve"/>
      </w:r>
    </w:p>
    <w:p>
      <w:pPr>
        <w:spacing w:after="20" w:before="20"/>
      </w:pPr>
    </w:p>
    <w:p>
      <w:pPr>
        <w:spacing w:after="40" w:before="0"/>
      </w:pPr>
      <w:r>
        <w:rPr>
          <w:rFonts w:ascii="Calibri" w:cs="Calibri" w:eastAsia="Calibri" w:hAnsi="Calibri"/>
          <w:b/>
          <w:bCs/>
          <w:color w:val="4A4A4A"/>
          <w:sz w:val="19"/>
          <w:szCs w:val="19"/>
        </w:rPr>
        <w:t xml:space="preserve">Effective Date: </w:t>
      </w:r>
      <w:r>
        <w:rPr>
          <w:rFonts w:ascii="Calibri" w:cs="Calibri" w:eastAsia="Calibri" w:hAnsi="Calibri"/>
          <w:color w:val="4A4A4A"/>
          <w:sz w:val="19"/>
          <w:szCs w:val="19"/>
        </w:rPr>
        <w:t xml:space="preserve">July 3, 2026</w:t>
      </w:r>
    </w:p>
    <w:p>
      <w:pPr>
        <w:spacing w:after="60" w:before="0"/>
      </w:pPr>
      <w:r>
        <w:rPr>
          <w:rFonts w:ascii="Calibri" w:cs="Calibri" w:eastAsia="Calibri" w:hAnsi="Calibri"/>
          <w:b/>
          <w:bCs/>
          <w:color w:val="4A4A4A"/>
          <w:sz w:val="19"/>
          <w:szCs w:val="19"/>
        </w:rPr>
        <w:t xml:space="preserve">Jurisdiction: </w:t>
      </w:r>
      <w:r>
        <w:rPr>
          <w:rFonts w:ascii="Calibri" w:cs="Calibri" w:eastAsia="Calibri" w:hAnsi="Calibri"/>
          <w:color w:val="4A4A4A"/>
          <w:sz w:val="19"/>
          <w:szCs w:val="19"/>
        </w:rPr>
        <w:t xml:space="preserve">State of Georgia, United States of America</w:t>
      </w:r>
    </w:p>
    <w:p>
      <w:pPr>
        <w:spacing w:after="40" w:before="4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ATTORNEY-REVIEW NOTICE: These documents are drafted to professional legal standards for review by qualified legal counsel prior to publication. They do not constitute legal advice and should be reviewed, modified as necessary, and approved by a licensed attorney before use.</w:t>
      </w:r>
    </w:p>
    <w:p>
      <w:pPr>
        <w:pBdr>
          <w:bottom w:val="single" w:color="CCCCCC" w:sz="4" w:space="4"/>
        </w:pBdr>
        <w:spacing w:after="0" w:before="20"/>
      </w:pPr>
      <w:r>
        <w:t xml:space="preserve"/>
      </w:r>
    </w:p>
    <w:p>
      <w:pPr>
        <w:spacing w:after="40" w:before="80"/>
      </w:pPr>
    </w:p>
    <w:p>
      <w:pPr>
        <w:pStyle w:val="Heading1"/>
        <w:pBdr>
          <w:bottom w:val="single" w:color="000000" w:sz="6" w:space="4"/>
        </w:pBdr>
        <w:spacing w:after="120" w:before="400"/>
      </w:pPr>
      <w:r>
        <w:rPr>
          <w:rFonts w:ascii="Georgia" w:cs="Georgia" w:eastAsia="Georgia" w:hAnsi="Georgia"/>
          <w:b/>
          <w:bCs/>
          <w:color w:val="000000"/>
          <w:sz w:val="26"/>
          <w:szCs w:val="26"/>
        </w:rPr>
        <w:t xml:space="preserve">Introduction</w:t>
      </w:r>
    </w:p>
    <w:p>
      <w:pPr>
        <w:spacing w:after="60" w:before="60"/>
        <w:jc w:val="left"/>
      </w:pPr>
      <w:r>
        <w:rPr>
          <w:rFonts w:ascii="Calibri" w:cs="Calibri" w:eastAsia="Calibri" w:hAnsi="Calibri"/>
          <w:b w:val="false"/>
          <w:bCs w:val="false"/>
          <w:i w:val="false"/>
          <w:iCs w:val="false"/>
          <w:color w:val="1A1A1A"/>
          <w:sz w:val="20"/>
          <w:szCs w:val="20"/>
        </w:rPr>
        <w:t xml:space="preserve">Panache Hair Company LLC ("Company," "we," "us," or "our"), operating under the brand Benita Davis, Your Healthy Hair Coach, is committed to protecting the privacy of the clients and prospective clients who use our Platform. This Privacy Policy describes how we collect, use, disclose, and safeguard your information when you access or use the Benita Davis, Your Healthy Hair Coach Platform, including the Healthy Hair Clarity Assessment™, Healthy Hair Clarity Report™, Healthy Hair Prescription™, and all associated services (collectively, the "Platform").</w:t>
      </w:r>
    </w:p>
    <w:p>
      <w:pPr>
        <w:spacing w:after="60" w:before="60"/>
        <w:jc w:val="left"/>
      </w:pPr>
      <w:r>
        <w:rPr>
          <w:rFonts w:ascii="Calibri" w:cs="Calibri" w:eastAsia="Calibri" w:hAnsi="Calibri"/>
          <w:b w:val="false"/>
          <w:bCs w:val="false"/>
          <w:i w:val="false"/>
          <w:iCs w:val="false"/>
          <w:color w:val="1A1A1A"/>
          <w:sz w:val="20"/>
          <w:szCs w:val="20"/>
        </w:rPr>
        <w:t xml:space="preserve">Please read this Privacy Policy carefully. By using the Platform, you consent to the data practices described in this policy. If you do not agree with any aspect of this Privacy Policy, please discontinue use of the Platform.</w:t>
      </w:r>
    </w:p>
    <w:p>
      <w:pPr>
        <w:spacing w:after="60" w:before="60"/>
        <w:jc w:val="left"/>
      </w:pPr>
      <w:r>
        <w:rPr>
          <w:rFonts w:ascii="Calibri" w:cs="Calibri" w:eastAsia="Calibri" w:hAnsi="Calibri"/>
          <w:b w:val="false"/>
          <w:bCs w:val="false"/>
          <w:i w:val="false"/>
          <w:iCs w:val="false"/>
          <w:color w:val="1A1A1A"/>
          <w:sz w:val="20"/>
          <w:szCs w:val="20"/>
        </w:rPr>
        <w:t xml:space="preserve">This Privacy Policy is incorporated by reference into our Terms and Conditions and should be read in conjunction therewith.</w:t>
      </w:r>
    </w:p>
    <w:p>
      <w:pPr>
        <w:pStyle w:val="Heading1"/>
        <w:pBdr>
          <w:bottom w:val="single" w:color="000000" w:sz="6" w:space="4"/>
        </w:pBdr>
        <w:spacing w:after="120" w:before="400"/>
      </w:pPr>
      <w:r>
        <w:rPr>
          <w:rFonts w:ascii="Georgia" w:cs="Georgia" w:eastAsia="Georgia" w:hAnsi="Georgia"/>
          <w:b/>
          <w:bCs/>
          <w:color w:val="000000"/>
          <w:sz w:val="26"/>
          <w:szCs w:val="26"/>
        </w:rPr>
        <w:t xml:space="preserve">Information We Collect</w:t>
      </w:r>
    </w:p>
    <w:p>
      <w:pPr>
        <w:pStyle w:val="Heading2"/>
        <w:spacing w:after="100" w:before="300"/>
      </w:pPr>
      <w:r>
        <w:rPr>
          <w:rFonts w:ascii="Calibri" w:cs="Calibri" w:eastAsia="Calibri" w:hAnsi="Calibri"/>
          <w:b/>
          <w:bCs/>
          <w:color w:val="1A1A1A"/>
          <w:sz w:val="22"/>
          <w:szCs w:val="22"/>
        </w:rPr>
        <w:t xml:space="preserve">1. Personal Information</w:t>
      </w:r>
    </w:p>
    <w:p>
      <w:pPr>
        <w:spacing w:after="60" w:before="60"/>
        <w:jc w:val="left"/>
      </w:pPr>
      <w:r>
        <w:rPr>
          <w:rFonts w:ascii="Calibri" w:cs="Calibri" w:eastAsia="Calibri" w:hAnsi="Calibri"/>
          <w:b w:val="false"/>
          <w:bCs w:val="false"/>
          <w:i w:val="false"/>
          <w:iCs w:val="false"/>
          <w:color w:val="1A1A1A"/>
          <w:sz w:val="20"/>
          <w:szCs w:val="20"/>
        </w:rPr>
        <w:t xml:space="preserve">We collect the following categories of personal information that you voluntarily provide when registering for or using the Platform:</w:t>
      </w:r>
    </w:p>
    <w:p>
      <w:pPr>
        <w:pStyle w:val="ListParagraph"/>
        <w:numPr>
          <w:ilvl w:val="0"/>
          <w:numId w:val="2"/>
        </w:numPr>
        <w:spacing w:after="40" w:before="40"/>
      </w:pPr>
      <w:r>
        <w:rPr>
          <w:rFonts w:ascii="Calibri" w:cs="Calibri" w:eastAsia="Calibri" w:hAnsi="Calibri"/>
          <w:color w:val="1A1A1A"/>
          <w:sz w:val="20"/>
          <w:szCs w:val="20"/>
        </w:rPr>
        <w:t xml:space="preserve">Full name;</w:t>
      </w:r>
    </w:p>
    <w:p>
      <w:pPr>
        <w:pStyle w:val="ListParagraph"/>
        <w:numPr>
          <w:ilvl w:val="0"/>
          <w:numId w:val="2"/>
        </w:numPr>
        <w:spacing w:after="40" w:before="40"/>
      </w:pPr>
      <w:r>
        <w:rPr>
          <w:rFonts w:ascii="Calibri" w:cs="Calibri" w:eastAsia="Calibri" w:hAnsi="Calibri"/>
          <w:color w:val="1A1A1A"/>
          <w:sz w:val="20"/>
          <w:szCs w:val="20"/>
        </w:rPr>
        <w:t xml:space="preserve">Email address;</w:t>
      </w:r>
    </w:p>
    <w:p>
      <w:pPr>
        <w:pStyle w:val="ListParagraph"/>
        <w:numPr>
          <w:ilvl w:val="0"/>
          <w:numId w:val="2"/>
        </w:numPr>
        <w:spacing w:after="40" w:before="40"/>
      </w:pPr>
      <w:r>
        <w:rPr>
          <w:rFonts w:ascii="Calibri" w:cs="Calibri" w:eastAsia="Calibri" w:hAnsi="Calibri"/>
          <w:color w:val="1A1A1A"/>
          <w:sz w:val="20"/>
          <w:szCs w:val="20"/>
        </w:rPr>
        <w:t xml:space="preserve">Phone number (optional);</w:t>
      </w:r>
    </w:p>
    <w:p>
      <w:pPr>
        <w:pStyle w:val="ListParagraph"/>
        <w:numPr>
          <w:ilvl w:val="0"/>
          <w:numId w:val="2"/>
        </w:numPr>
        <w:spacing w:after="40" w:before="40"/>
      </w:pPr>
      <w:r>
        <w:rPr>
          <w:rFonts w:ascii="Calibri" w:cs="Calibri" w:eastAsia="Calibri" w:hAnsi="Calibri"/>
          <w:color w:val="1A1A1A"/>
          <w:sz w:val="20"/>
          <w:szCs w:val="20"/>
        </w:rPr>
        <w:t xml:space="preserve">Business name and business contact information.</w:t>
      </w:r>
    </w:p>
    <w:p>
      <w:pPr>
        <w:pStyle w:val="Heading2"/>
        <w:spacing w:after="100" w:before="300"/>
      </w:pPr>
      <w:r>
        <w:rPr>
          <w:rFonts w:ascii="Calibri" w:cs="Calibri" w:eastAsia="Calibri" w:hAnsi="Calibri"/>
          <w:b/>
          <w:bCs/>
          <w:color w:val="1A1A1A"/>
          <w:sz w:val="22"/>
          <w:szCs w:val="22"/>
        </w:rPr>
        <w:t xml:space="preserve">2. Business Information</w:t>
      </w:r>
    </w:p>
    <w:p>
      <w:pPr>
        <w:spacing w:after="60" w:before="60"/>
        <w:jc w:val="left"/>
      </w:pPr>
      <w:r>
        <w:rPr>
          <w:rFonts w:ascii="Calibri" w:cs="Calibri" w:eastAsia="Calibri" w:hAnsi="Calibri"/>
          <w:b w:val="false"/>
          <w:bCs w:val="false"/>
          <w:i w:val="false"/>
          <w:iCs w:val="false"/>
          <w:color w:val="1A1A1A"/>
          <w:sz w:val="20"/>
          <w:szCs w:val="20"/>
        </w:rPr>
        <w:t xml:space="preserve">As part of the Assessment process, we collect business-related information that you voluntarily submit, including:</w:t>
      </w:r>
    </w:p>
    <w:p>
      <w:pPr>
        <w:pStyle w:val="ListParagraph"/>
        <w:numPr>
          <w:ilvl w:val="0"/>
          <w:numId w:val="2"/>
        </w:numPr>
        <w:spacing w:after="40" w:before="40"/>
      </w:pPr>
      <w:r>
        <w:rPr>
          <w:rFonts w:ascii="Calibri" w:cs="Calibri" w:eastAsia="Calibri" w:hAnsi="Calibri"/>
          <w:color w:val="1A1A1A"/>
          <w:sz w:val="20"/>
          <w:szCs w:val="20"/>
        </w:rPr>
        <w:t xml:space="preserve">Monthly and annual revenue figures;</w:t>
      </w:r>
    </w:p>
    <w:p>
      <w:pPr>
        <w:pStyle w:val="ListParagraph"/>
        <w:numPr>
          <w:ilvl w:val="0"/>
          <w:numId w:val="2"/>
        </w:numPr>
        <w:spacing w:after="40" w:before="40"/>
      </w:pPr>
      <w:r>
        <w:rPr>
          <w:rFonts w:ascii="Calibri" w:cs="Calibri" w:eastAsia="Calibri" w:hAnsi="Calibri"/>
          <w:color w:val="1A1A1A"/>
          <w:sz w:val="20"/>
          <w:szCs w:val="20"/>
        </w:rPr>
        <w:t xml:space="preserve">Service pricing and pricing structures;</w:t>
      </w:r>
    </w:p>
    <w:p>
      <w:pPr>
        <w:pStyle w:val="ListParagraph"/>
        <w:numPr>
          <w:ilvl w:val="0"/>
          <w:numId w:val="2"/>
        </w:numPr>
        <w:spacing w:after="40" w:before="40"/>
      </w:pPr>
      <w:r>
        <w:rPr>
          <w:rFonts w:ascii="Calibri" w:cs="Calibri" w:eastAsia="Calibri" w:hAnsi="Calibri"/>
          <w:color w:val="1A1A1A"/>
          <w:sz w:val="20"/>
          <w:szCs w:val="20"/>
        </w:rPr>
        <w:t xml:space="preserve">Client volume and client retention data;</w:t>
      </w:r>
    </w:p>
    <w:p>
      <w:pPr>
        <w:pStyle w:val="ListParagraph"/>
        <w:numPr>
          <w:ilvl w:val="0"/>
          <w:numId w:val="2"/>
        </w:numPr>
        <w:spacing w:after="40" w:before="40"/>
      </w:pPr>
      <w:r>
        <w:rPr>
          <w:rFonts w:ascii="Calibri" w:cs="Calibri" w:eastAsia="Calibri" w:hAnsi="Calibri"/>
          <w:color w:val="1A1A1A"/>
          <w:sz w:val="20"/>
          <w:szCs w:val="20"/>
        </w:rPr>
        <w:t xml:space="preserve">Marketing activities and marketing spend;</w:t>
      </w:r>
    </w:p>
    <w:p>
      <w:pPr>
        <w:pStyle w:val="ListParagraph"/>
        <w:numPr>
          <w:ilvl w:val="0"/>
          <w:numId w:val="2"/>
        </w:numPr>
        <w:spacing w:after="40" w:before="40"/>
      </w:pPr>
      <w:r>
        <w:rPr>
          <w:rFonts w:ascii="Calibri" w:cs="Calibri" w:eastAsia="Calibri" w:hAnsi="Calibri"/>
          <w:color w:val="1A1A1A"/>
          <w:sz w:val="20"/>
          <w:szCs w:val="20"/>
        </w:rPr>
        <w:t xml:space="preserve">Business systems and operational infrastructure details;</w:t>
      </w:r>
    </w:p>
    <w:p>
      <w:pPr>
        <w:pStyle w:val="ListParagraph"/>
        <w:numPr>
          <w:ilvl w:val="0"/>
          <w:numId w:val="2"/>
        </w:numPr>
        <w:spacing w:after="40" w:before="40"/>
      </w:pPr>
      <w:r>
        <w:rPr>
          <w:rFonts w:ascii="Calibri" w:cs="Calibri" w:eastAsia="Calibri" w:hAnsi="Calibri"/>
          <w:color w:val="1A1A1A"/>
          <w:sz w:val="20"/>
          <w:szCs w:val="20"/>
        </w:rPr>
        <w:t xml:space="preserve">CEO and leadership assessment responses;</w:t>
      </w:r>
    </w:p>
    <w:p>
      <w:pPr>
        <w:pStyle w:val="ListParagraph"/>
        <w:numPr>
          <w:ilvl w:val="0"/>
          <w:numId w:val="2"/>
        </w:numPr>
        <w:spacing w:after="40" w:before="40"/>
      </w:pPr>
      <w:r>
        <w:rPr>
          <w:rFonts w:ascii="Calibri" w:cs="Calibri" w:eastAsia="Calibri" w:hAnsi="Calibri"/>
          <w:color w:val="1A1A1A"/>
          <w:sz w:val="20"/>
          <w:szCs w:val="20"/>
        </w:rPr>
        <w:t xml:space="preserve">Business infrastructure information;</w:t>
      </w:r>
    </w:p>
    <w:p>
      <w:pPr>
        <w:pStyle w:val="ListParagraph"/>
        <w:numPr>
          <w:ilvl w:val="0"/>
          <w:numId w:val="2"/>
        </w:numPr>
        <w:spacing w:after="40" w:before="40"/>
      </w:pPr>
      <w:r>
        <w:rPr>
          <w:rFonts w:ascii="Calibri" w:cs="Calibri" w:eastAsia="Calibri" w:hAnsi="Calibri"/>
          <w:color w:val="1A1A1A"/>
          <w:sz w:val="20"/>
          <w:szCs w:val="20"/>
        </w:rPr>
        <w:t xml:space="preserve">Business growth goals and strategic objectives;</w:t>
      </w:r>
    </w:p>
    <w:p>
      <w:pPr>
        <w:pStyle w:val="ListParagraph"/>
        <w:numPr>
          <w:ilvl w:val="0"/>
          <w:numId w:val="2"/>
        </w:numPr>
        <w:spacing w:after="40" w:before="40"/>
      </w:pPr>
      <w:r>
        <w:rPr>
          <w:rFonts w:ascii="Calibri" w:cs="Calibri" w:eastAsia="Calibri" w:hAnsi="Calibri"/>
          <w:color w:val="1A1A1A"/>
          <w:sz w:val="20"/>
          <w:szCs w:val="20"/>
        </w:rPr>
        <w:t xml:space="preserve">All responses to Assessment questions.</w:t>
      </w:r>
    </w:p>
    <w:p>
      <w:pPr>
        <w:spacing w:after="60" w:before="60"/>
        <w:jc w:val="left"/>
      </w:pPr>
      <w:r>
        <w:rPr>
          <w:rFonts w:ascii="Calibri" w:cs="Calibri" w:eastAsia="Calibri" w:hAnsi="Calibri"/>
          <w:b w:val="false"/>
          <w:bCs w:val="false"/>
          <w:i w:val="false"/>
          <w:iCs w:val="false"/>
          <w:color w:val="1A1A1A"/>
          <w:sz w:val="20"/>
          <w:szCs w:val="20"/>
        </w:rPr>
        <w:t xml:space="preserve">This business information is used solely to generate personalized Reports and improve Platform functionality as described in this policy.</w:t>
      </w:r>
    </w:p>
    <w:p>
      <w:pPr>
        <w:pStyle w:val="Heading2"/>
        <w:spacing w:after="100" w:before="300"/>
      </w:pPr>
      <w:r>
        <w:rPr>
          <w:rFonts w:ascii="Calibri" w:cs="Calibri" w:eastAsia="Calibri" w:hAnsi="Calibri"/>
          <w:b/>
          <w:bCs/>
          <w:color w:val="1A1A1A"/>
          <w:sz w:val="22"/>
          <w:szCs w:val="22"/>
        </w:rPr>
        <w:t xml:space="preserve">3. Technical Information</w:t>
      </w:r>
    </w:p>
    <w:p>
      <w:pPr>
        <w:spacing w:after="60" w:before="60"/>
        <w:jc w:val="left"/>
      </w:pPr>
      <w:r>
        <w:rPr>
          <w:rFonts w:ascii="Calibri" w:cs="Calibri" w:eastAsia="Calibri" w:hAnsi="Calibri"/>
          <w:b w:val="false"/>
          <w:bCs w:val="false"/>
          <w:i w:val="false"/>
          <w:iCs w:val="false"/>
          <w:color w:val="1A1A1A"/>
          <w:sz w:val="20"/>
          <w:szCs w:val="20"/>
        </w:rPr>
        <w:t xml:space="preserve">We automatically collect certain technical information when you access the Platform, including:</w:t>
      </w:r>
    </w:p>
    <w:p>
      <w:pPr>
        <w:pStyle w:val="ListParagraph"/>
        <w:numPr>
          <w:ilvl w:val="0"/>
          <w:numId w:val="2"/>
        </w:numPr>
        <w:spacing w:after="40" w:before="40"/>
      </w:pPr>
      <w:r>
        <w:rPr>
          <w:rFonts w:ascii="Calibri" w:cs="Calibri" w:eastAsia="Calibri" w:hAnsi="Calibri"/>
          <w:color w:val="1A1A1A"/>
          <w:sz w:val="20"/>
          <w:szCs w:val="20"/>
        </w:rPr>
        <w:t xml:space="preserve">IP address and approximate geographic location;</w:t>
      </w:r>
    </w:p>
    <w:p>
      <w:pPr>
        <w:pStyle w:val="ListParagraph"/>
        <w:numPr>
          <w:ilvl w:val="0"/>
          <w:numId w:val="2"/>
        </w:numPr>
        <w:spacing w:after="40" w:before="40"/>
      </w:pPr>
      <w:r>
        <w:rPr>
          <w:rFonts w:ascii="Calibri" w:cs="Calibri" w:eastAsia="Calibri" w:hAnsi="Calibri"/>
          <w:color w:val="1A1A1A"/>
          <w:sz w:val="20"/>
          <w:szCs w:val="20"/>
        </w:rPr>
        <w:t xml:space="preserve">Browser type, version, and settings;</w:t>
      </w:r>
    </w:p>
    <w:p>
      <w:pPr>
        <w:pStyle w:val="ListParagraph"/>
        <w:numPr>
          <w:ilvl w:val="0"/>
          <w:numId w:val="2"/>
        </w:numPr>
        <w:spacing w:after="40" w:before="40"/>
      </w:pPr>
      <w:r>
        <w:rPr>
          <w:rFonts w:ascii="Calibri" w:cs="Calibri" w:eastAsia="Calibri" w:hAnsi="Calibri"/>
          <w:color w:val="1A1A1A"/>
          <w:sz w:val="20"/>
          <w:szCs w:val="20"/>
        </w:rPr>
        <w:t xml:space="preserve">Device type, operating system, and hardware information;</w:t>
      </w:r>
    </w:p>
    <w:p>
      <w:pPr>
        <w:pStyle w:val="ListParagraph"/>
        <w:numPr>
          <w:ilvl w:val="0"/>
          <w:numId w:val="2"/>
        </w:numPr>
        <w:spacing w:after="40" w:before="40"/>
      </w:pPr>
      <w:r>
        <w:rPr>
          <w:rFonts w:ascii="Calibri" w:cs="Calibri" w:eastAsia="Calibri" w:hAnsi="Calibri"/>
          <w:color w:val="1A1A1A"/>
          <w:sz w:val="20"/>
          <w:szCs w:val="20"/>
        </w:rPr>
        <w:t xml:space="preserve">Pages visited, features used, and time spent on the Platform;</w:t>
      </w:r>
    </w:p>
    <w:p>
      <w:pPr>
        <w:pStyle w:val="ListParagraph"/>
        <w:numPr>
          <w:ilvl w:val="0"/>
          <w:numId w:val="2"/>
        </w:numPr>
        <w:spacing w:after="40" w:before="40"/>
      </w:pPr>
      <w:r>
        <w:rPr>
          <w:rFonts w:ascii="Calibri" w:cs="Calibri" w:eastAsia="Calibri" w:hAnsi="Calibri"/>
          <w:color w:val="1A1A1A"/>
          <w:sz w:val="20"/>
          <w:szCs w:val="20"/>
        </w:rPr>
        <w:t xml:space="preserve">Referring URLs and exit pages;</w:t>
      </w:r>
    </w:p>
    <w:p>
      <w:pPr>
        <w:pStyle w:val="ListParagraph"/>
        <w:numPr>
          <w:ilvl w:val="0"/>
          <w:numId w:val="2"/>
        </w:numPr>
        <w:spacing w:after="40" w:before="40"/>
      </w:pPr>
      <w:r>
        <w:rPr>
          <w:rFonts w:ascii="Calibri" w:cs="Calibri" w:eastAsia="Calibri" w:hAnsi="Calibri"/>
          <w:color w:val="1A1A1A"/>
          <w:sz w:val="20"/>
          <w:szCs w:val="20"/>
        </w:rPr>
        <w:t xml:space="preserve">Cookies and similar tracking technologies (see Section 7).</w:t>
      </w:r>
    </w:p>
    <w:p>
      <w:pPr>
        <w:pStyle w:val="Heading2"/>
        <w:spacing w:after="100" w:before="300"/>
      </w:pPr>
      <w:r>
        <w:rPr>
          <w:rFonts w:ascii="Calibri" w:cs="Calibri" w:eastAsia="Calibri" w:hAnsi="Calibri"/>
          <w:b/>
          <w:bCs/>
          <w:color w:val="1A1A1A"/>
          <w:sz w:val="22"/>
          <w:szCs w:val="22"/>
        </w:rPr>
        <w:t xml:space="preserve">4. Payment Information</w:t>
      </w:r>
    </w:p>
    <w:p>
      <w:pPr>
        <w:spacing w:after="60" w:before="60"/>
        <w:jc w:val="left"/>
      </w:pPr>
      <w:r>
        <w:rPr>
          <w:rFonts w:ascii="Calibri" w:cs="Calibri" w:eastAsia="Calibri" w:hAnsi="Calibri"/>
          <w:b w:val="false"/>
          <w:bCs w:val="false"/>
          <w:i w:val="false"/>
          <w:iCs w:val="false"/>
          <w:color w:val="1A1A1A"/>
          <w:sz w:val="20"/>
          <w:szCs w:val="20"/>
        </w:rPr>
        <w:t xml:space="preserve">For paid Services, payment information is collected and processed by third-party payment processors. We do not store complete payment card information on our systems. We may retain transaction records including transaction identifiers and amounts.</w:t>
      </w:r>
    </w:p>
    <w:p>
      <w:pPr>
        <w:pStyle w:val="Heading1"/>
        <w:pBdr>
          <w:bottom w:val="single" w:color="000000" w:sz="6" w:space="4"/>
        </w:pBdr>
        <w:spacing w:after="120" w:before="400"/>
      </w:pPr>
      <w:r>
        <w:rPr>
          <w:rFonts w:ascii="Georgia" w:cs="Georgia" w:eastAsia="Georgia" w:hAnsi="Georgia"/>
          <w:b/>
          <w:bCs/>
          <w:color w:val="000000"/>
          <w:sz w:val="26"/>
          <w:szCs w:val="26"/>
        </w:rPr>
        <w:t xml:space="preserve">How We Use Your Information</w:t>
      </w:r>
    </w:p>
    <w:p>
      <w:pPr>
        <w:pStyle w:val="Heading2"/>
        <w:spacing w:after="100" w:before="300"/>
      </w:pPr>
      <w:r>
        <w:rPr>
          <w:rFonts w:ascii="Calibri" w:cs="Calibri" w:eastAsia="Calibri" w:hAnsi="Calibri"/>
          <w:b/>
          <w:bCs/>
          <w:color w:val="1A1A1A"/>
          <w:sz w:val="22"/>
          <w:szCs w:val="22"/>
        </w:rPr>
        <w:t xml:space="preserve">5. Purposes of Processing</w:t>
      </w:r>
    </w:p>
    <w:p>
      <w:pPr>
        <w:spacing w:after="60" w:before="60"/>
        <w:jc w:val="left"/>
      </w:pPr>
      <w:r>
        <w:rPr>
          <w:rFonts w:ascii="Calibri" w:cs="Calibri" w:eastAsia="Calibri" w:hAnsi="Calibri"/>
          <w:b w:val="false"/>
          <w:bCs w:val="false"/>
          <w:i w:val="false"/>
          <w:iCs w:val="false"/>
          <w:color w:val="1A1A1A"/>
          <w:sz w:val="20"/>
          <w:szCs w:val="20"/>
        </w:rPr>
        <w:t xml:space="preserve">We use the information we collect for the following purposes:</w:t>
      </w:r>
    </w:p>
    <w:p>
      <w:pPr>
        <w:pStyle w:val="ListParagraph"/>
        <w:numPr>
          <w:ilvl w:val="0"/>
          <w:numId w:val="2"/>
        </w:numPr>
        <w:spacing w:after="40" w:before="40"/>
      </w:pPr>
      <w:r>
        <w:rPr>
          <w:rFonts w:ascii="Calibri" w:cs="Calibri" w:eastAsia="Calibri" w:hAnsi="Calibri"/>
          <w:color w:val="1A1A1A"/>
          <w:sz w:val="20"/>
          <w:szCs w:val="20"/>
        </w:rPr>
        <w:t xml:space="preserve">To generate personalized Healthy Hair Clarity Report™s and strategic recommendations based on your Assessment responses;</w:t>
      </w:r>
    </w:p>
    <w:p>
      <w:pPr>
        <w:pStyle w:val="ListParagraph"/>
        <w:numPr>
          <w:ilvl w:val="0"/>
          <w:numId w:val="2"/>
        </w:numPr>
        <w:spacing w:after="40" w:before="40"/>
      </w:pPr>
      <w:r>
        <w:rPr>
          <w:rFonts w:ascii="Calibri" w:cs="Calibri" w:eastAsia="Calibri" w:hAnsi="Calibri"/>
          <w:color w:val="1A1A1A"/>
          <w:sz w:val="20"/>
          <w:szCs w:val="20"/>
        </w:rPr>
        <w:t xml:space="preserve">To operate, maintain, and improve the Platform and its Services;</w:t>
      </w:r>
    </w:p>
    <w:p>
      <w:pPr>
        <w:pStyle w:val="ListParagraph"/>
        <w:numPr>
          <w:ilvl w:val="0"/>
          <w:numId w:val="2"/>
        </w:numPr>
        <w:spacing w:after="40" w:before="40"/>
      </w:pPr>
      <w:r>
        <w:rPr>
          <w:rFonts w:ascii="Calibri" w:cs="Calibri" w:eastAsia="Calibri" w:hAnsi="Calibri"/>
          <w:color w:val="1A1A1A"/>
          <w:sz w:val="20"/>
          <w:szCs w:val="20"/>
        </w:rPr>
        <w:t xml:space="preserve">To improve the accuracy and relevance of AI-generated outputs and Proprietary Frameworks;</w:t>
      </w:r>
    </w:p>
    <w:p>
      <w:pPr>
        <w:pStyle w:val="ListParagraph"/>
        <w:numPr>
          <w:ilvl w:val="0"/>
          <w:numId w:val="2"/>
        </w:numPr>
        <w:spacing w:after="40" w:before="40"/>
      </w:pPr>
      <w:r>
        <w:rPr>
          <w:rFonts w:ascii="Calibri" w:cs="Calibri" w:eastAsia="Calibri" w:hAnsi="Calibri"/>
          <w:color w:val="1A1A1A"/>
          <w:sz w:val="20"/>
          <w:szCs w:val="20"/>
        </w:rPr>
        <w:t xml:space="preserve">To communicate with you regarding your account, Services, and Platform updates;</w:t>
      </w:r>
    </w:p>
    <w:p>
      <w:pPr>
        <w:pStyle w:val="ListParagraph"/>
        <w:numPr>
          <w:ilvl w:val="0"/>
          <w:numId w:val="2"/>
        </w:numPr>
        <w:spacing w:after="40" w:before="40"/>
      </w:pPr>
      <w:r>
        <w:rPr>
          <w:rFonts w:ascii="Calibri" w:cs="Calibri" w:eastAsia="Calibri" w:hAnsi="Calibri"/>
          <w:color w:val="1A1A1A"/>
          <w:sz w:val="20"/>
          <w:szCs w:val="20"/>
        </w:rPr>
        <w:t xml:space="preserve">To provide customer support and respond to inquiries;</w:t>
      </w:r>
    </w:p>
    <w:p>
      <w:pPr>
        <w:pStyle w:val="ListParagraph"/>
        <w:numPr>
          <w:ilvl w:val="0"/>
          <w:numId w:val="2"/>
        </w:numPr>
        <w:spacing w:after="40" w:before="40"/>
      </w:pPr>
      <w:r>
        <w:rPr>
          <w:rFonts w:ascii="Calibri" w:cs="Calibri" w:eastAsia="Calibri" w:hAnsi="Calibri"/>
          <w:color w:val="1A1A1A"/>
          <w:sz w:val="20"/>
          <w:szCs w:val="20"/>
        </w:rPr>
        <w:t xml:space="preserve">To send educational content, product updates, and marketing communications (subject to your consent and opt-out preferences);</w:t>
      </w:r>
    </w:p>
    <w:p>
      <w:pPr>
        <w:pStyle w:val="ListParagraph"/>
        <w:numPr>
          <w:ilvl w:val="0"/>
          <w:numId w:val="2"/>
        </w:numPr>
        <w:spacing w:after="40" w:before="40"/>
      </w:pPr>
      <w:r>
        <w:rPr>
          <w:rFonts w:ascii="Calibri" w:cs="Calibri" w:eastAsia="Calibri" w:hAnsi="Calibri"/>
          <w:color w:val="1A1A1A"/>
          <w:sz w:val="20"/>
          <w:szCs w:val="20"/>
        </w:rPr>
        <w:t xml:space="preserve">To analyze Platform usage patterns and improve user experience;</w:t>
      </w:r>
    </w:p>
    <w:p>
      <w:pPr>
        <w:pStyle w:val="ListParagraph"/>
        <w:numPr>
          <w:ilvl w:val="0"/>
          <w:numId w:val="2"/>
        </w:numPr>
        <w:spacing w:after="40" w:before="40"/>
      </w:pPr>
      <w:r>
        <w:rPr>
          <w:rFonts w:ascii="Calibri" w:cs="Calibri" w:eastAsia="Calibri" w:hAnsi="Calibri"/>
          <w:color w:val="1A1A1A"/>
          <w:sz w:val="20"/>
          <w:szCs w:val="20"/>
        </w:rPr>
        <w:t xml:space="preserve">To enforce our Terms and Conditions and protect our legal rights;</w:t>
      </w:r>
    </w:p>
    <w:p>
      <w:pPr>
        <w:pStyle w:val="ListParagraph"/>
        <w:numPr>
          <w:ilvl w:val="0"/>
          <w:numId w:val="2"/>
        </w:numPr>
        <w:spacing w:after="40" w:before="40"/>
      </w:pPr>
      <w:r>
        <w:rPr>
          <w:rFonts w:ascii="Calibri" w:cs="Calibri" w:eastAsia="Calibri" w:hAnsi="Calibri"/>
          <w:color w:val="1A1A1A"/>
          <w:sz w:val="20"/>
          <w:szCs w:val="20"/>
        </w:rPr>
        <w:t xml:space="preserve">To comply with applicable legal obligations;</w:t>
      </w:r>
    </w:p>
    <w:p>
      <w:pPr>
        <w:pStyle w:val="ListParagraph"/>
        <w:numPr>
          <w:ilvl w:val="0"/>
          <w:numId w:val="2"/>
        </w:numPr>
        <w:spacing w:after="40" w:before="40"/>
      </w:pPr>
      <w:r>
        <w:rPr>
          <w:rFonts w:ascii="Calibri" w:cs="Calibri" w:eastAsia="Calibri" w:hAnsi="Calibri"/>
          <w:color w:val="1A1A1A"/>
          <w:sz w:val="20"/>
          <w:szCs w:val="20"/>
        </w:rPr>
        <w:t xml:space="preserve">To detect and prevent fraud, abuse, and security threats.</w:t>
      </w:r>
    </w:p>
    <w:p>
      <w:pPr>
        <w:spacing w:after="60" w:before="60"/>
        <w:jc w:val="left"/>
      </w:pPr>
      <w:r>
        <w:rPr>
          <w:rFonts w:ascii="Calibri" w:cs="Calibri" w:eastAsia="Calibri" w:hAnsi="Calibri"/>
          <w:b w:val="false"/>
          <w:bCs w:val="false"/>
          <w:i w:val="false"/>
          <w:iCs w:val="false"/>
          <w:color w:val="1A1A1A"/>
          <w:sz w:val="20"/>
          <w:szCs w:val="20"/>
        </w:rPr>
        <w:t xml:space="preserve">We process your information on the legal bases of contractual necessity, legitimate business interests, legal compliance, and your consent where required by applicable law.</w:t>
      </w:r>
    </w:p>
    <w:p>
      <w:pPr>
        <w:pStyle w:val="Heading1"/>
        <w:pBdr>
          <w:bottom w:val="single" w:color="000000" w:sz="6" w:space="4"/>
        </w:pBdr>
        <w:spacing w:after="120" w:before="400"/>
      </w:pPr>
      <w:r>
        <w:rPr>
          <w:rFonts w:ascii="Georgia" w:cs="Georgia" w:eastAsia="Georgia" w:hAnsi="Georgia"/>
          <w:b/>
          <w:bCs/>
          <w:color w:val="000000"/>
          <w:sz w:val="26"/>
          <w:szCs w:val="26"/>
        </w:rPr>
        <w:t xml:space="preserve">Information Sharing and Disclosure</w:t>
      </w:r>
    </w:p>
    <w:p>
      <w:pPr>
        <w:pStyle w:val="Heading2"/>
        <w:spacing w:after="100" w:before="300"/>
      </w:pPr>
      <w:r>
        <w:rPr>
          <w:rFonts w:ascii="Calibri" w:cs="Calibri" w:eastAsia="Calibri" w:hAnsi="Calibri"/>
          <w:b/>
          <w:bCs/>
          <w:color w:val="1A1A1A"/>
          <w:sz w:val="22"/>
          <w:szCs w:val="22"/>
        </w:rPr>
        <w:t xml:space="preserve">6. No Sale of Personal Information</w:t>
      </w:r>
    </w:p>
    <w:p>
      <w:pPr>
        <w:spacing w:after="60" w:before="60"/>
        <w:jc w:val="left"/>
      </w:pPr>
      <w:r>
        <w:rPr>
          <w:rFonts w:ascii="Calibri" w:cs="Calibri" w:eastAsia="Calibri" w:hAnsi="Calibri"/>
          <w:b w:val="false"/>
          <w:bCs w:val="false"/>
          <w:i w:val="false"/>
          <w:iCs w:val="false"/>
          <w:color w:val="1A1A1A"/>
          <w:sz w:val="20"/>
          <w:szCs w:val="20"/>
        </w:rPr>
        <w:t xml:space="preserve">WE DO NOT SELL, RENT, TRADE, OR OTHERWISE TRANSFER YOUR PERSONAL INFORMATION TO THIRD PARTIES FOR THEIR INDEPENDENT MARKETING OR COMMERCIAL PURPOSES.</w:t>
      </w:r>
    </w:p>
    <w:p>
      <w:pPr>
        <w:pStyle w:val="Heading2"/>
        <w:spacing w:after="100" w:before="300"/>
      </w:pPr>
      <w:r>
        <w:rPr>
          <w:rFonts w:ascii="Calibri" w:cs="Calibri" w:eastAsia="Calibri" w:hAnsi="Calibri"/>
          <w:b/>
          <w:bCs/>
          <w:color w:val="1A1A1A"/>
          <w:sz w:val="22"/>
          <w:szCs w:val="22"/>
        </w:rPr>
        <w:t xml:space="preserve">7. Permitted Disclosures</w:t>
      </w:r>
    </w:p>
    <w:p>
      <w:pPr>
        <w:spacing w:after="60" w:before="60"/>
        <w:jc w:val="left"/>
      </w:pPr>
      <w:r>
        <w:rPr>
          <w:rFonts w:ascii="Calibri" w:cs="Calibri" w:eastAsia="Calibri" w:hAnsi="Calibri"/>
          <w:b w:val="false"/>
          <w:bCs w:val="false"/>
          <w:i w:val="false"/>
          <w:iCs w:val="false"/>
          <w:color w:val="1A1A1A"/>
          <w:sz w:val="20"/>
          <w:szCs w:val="20"/>
        </w:rPr>
        <w:t xml:space="preserve">We may share your information with the following categories of trusted service providers who assist us in operating the Platform and delivering Services:</w:t>
      </w:r>
    </w:p>
    <w:p>
      <w:pPr>
        <w:pStyle w:val="ListParagraph"/>
        <w:numPr>
          <w:ilvl w:val="0"/>
          <w:numId w:val="2"/>
        </w:numPr>
        <w:spacing w:after="40" w:before="40"/>
      </w:pPr>
      <w:r>
        <w:rPr>
          <w:rFonts w:ascii="Calibri" w:cs="Calibri" w:eastAsia="Calibri" w:hAnsi="Calibri"/>
          <w:color w:val="1A1A1A"/>
          <w:sz w:val="20"/>
          <w:szCs w:val="20"/>
        </w:rPr>
        <w:t xml:space="preserve">Artificial intelligence and machine learning service providers, for the purpose of processing Assessment data and generating Reports;</w:t>
      </w:r>
    </w:p>
    <w:p>
      <w:pPr>
        <w:pStyle w:val="ListParagraph"/>
        <w:numPr>
          <w:ilvl w:val="0"/>
          <w:numId w:val="2"/>
        </w:numPr>
        <w:spacing w:after="40" w:before="40"/>
      </w:pPr>
      <w:r>
        <w:rPr>
          <w:rFonts w:ascii="Calibri" w:cs="Calibri" w:eastAsia="Calibri" w:hAnsi="Calibri"/>
          <w:color w:val="1A1A1A"/>
          <w:sz w:val="20"/>
          <w:szCs w:val="20"/>
        </w:rPr>
        <w:t xml:space="preserve">Cloud hosting and infrastructure providers;</w:t>
      </w:r>
    </w:p>
    <w:p>
      <w:pPr>
        <w:pStyle w:val="ListParagraph"/>
        <w:numPr>
          <w:ilvl w:val="0"/>
          <w:numId w:val="2"/>
        </w:numPr>
        <w:spacing w:after="40" w:before="40"/>
      </w:pPr>
      <w:r>
        <w:rPr>
          <w:rFonts w:ascii="Calibri" w:cs="Calibri" w:eastAsia="Calibri" w:hAnsi="Calibri"/>
          <w:color w:val="1A1A1A"/>
          <w:sz w:val="20"/>
          <w:szCs w:val="20"/>
        </w:rPr>
        <w:t xml:space="preserve">Analytics service providers, for the purpose of analyzing Platform usage;</w:t>
      </w:r>
    </w:p>
    <w:p>
      <w:pPr>
        <w:pStyle w:val="ListParagraph"/>
        <w:numPr>
          <w:ilvl w:val="0"/>
          <w:numId w:val="2"/>
        </w:numPr>
        <w:spacing w:after="40" w:before="40"/>
      </w:pPr>
      <w:r>
        <w:rPr>
          <w:rFonts w:ascii="Calibri" w:cs="Calibri" w:eastAsia="Calibri" w:hAnsi="Calibri"/>
          <w:color w:val="1A1A1A"/>
          <w:sz w:val="20"/>
          <w:szCs w:val="20"/>
        </w:rPr>
        <w:t xml:space="preserve">Payment processors, for the purpose of processing transactions;</w:t>
      </w:r>
    </w:p>
    <w:p>
      <w:pPr>
        <w:pStyle w:val="ListParagraph"/>
        <w:numPr>
          <w:ilvl w:val="0"/>
          <w:numId w:val="2"/>
        </w:numPr>
        <w:spacing w:after="40" w:before="40"/>
      </w:pPr>
      <w:r>
        <w:rPr>
          <w:rFonts w:ascii="Calibri" w:cs="Calibri" w:eastAsia="Calibri" w:hAnsi="Calibri"/>
          <w:color w:val="1A1A1A"/>
          <w:sz w:val="20"/>
          <w:szCs w:val="20"/>
        </w:rPr>
        <w:t xml:space="preserve">Email and marketing communication service providers;</w:t>
      </w:r>
    </w:p>
    <w:p>
      <w:pPr>
        <w:pStyle w:val="ListParagraph"/>
        <w:numPr>
          <w:ilvl w:val="0"/>
          <w:numId w:val="2"/>
        </w:numPr>
        <w:spacing w:after="40" w:before="40"/>
      </w:pPr>
      <w:r>
        <w:rPr>
          <w:rFonts w:ascii="Calibri" w:cs="Calibri" w:eastAsia="Calibri" w:hAnsi="Calibri"/>
          <w:color w:val="1A1A1A"/>
          <w:sz w:val="20"/>
          <w:szCs w:val="20"/>
        </w:rPr>
        <w:t xml:space="preserve">Customer support tools and platforms.</w:t>
      </w:r>
    </w:p>
    <w:p>
      <w:pPr>
        <w:spacing w:after="60" w:before="60"/>
        <w:jc w:val="left"/>
      </w:pPr>
      <w:r>
        <w:rPr>
          <w:rFonts w:ascii="Calibri" w:cs="Calibri" w:eastAsia="Calibri" w:hAnsi="Calibri"/>
          <w:b w:val="false"/>
          <w:bCs w:val="false"/>
          <w:i w:val="false"/>
          <w:iCs w:val="false"/>
          <w:color w:val="1A1A1A"/>
          <w:sz w:val="20"/>
          <w:szCs w:val="20"/>
        </w:rPr>
        <w:t xml:space="preserve">All third-party service providers are contractually obligated to use your information only as necessary to provide services to us, to maintain appropriate security measures, and to comply with applicable data protection laws.</w:t>
      </w:r>
    </w:p>
    <w:p>
      <w:pPr>
        <w:spacing w:after="60" w:before="60"/>
        <w:jc w:val="left"/>
      </w:pPr>
      <w:r>
        <w:rPr>
          <w:rFonts w:ascii="Calibri" w:cs="Calibri" w:eastAsia="Calibri" w:hAnsi="Calibri"/>
          <w:b w:val="false"/>
          <w:bCs w:val="false"/>
          <w:i w:val="false"/>
          <w:iCs w:val="false"/>
          <w:color w:val="1A1A1A"/>
          <w:sz w:val="20"/>
          <w:szCs w:val="20"/>
        </w:rPr>
        <w:t xml:space="preserve">We may also disclose your information: (a) to comply with applicable laws, regulations, or legal process; (b) to respond to lawful requests from governmental authorities; (c) to protect the rights, property, or safety of the Company, its users, or the public; or (d) in connection with a merger, acquisition, or sale of business assets, provided that the successor agrees to honor this Privacy Policy.</w:t>
      </w:r>
    </w:p>
    <w:p>
      <w:pPr>
        <w:pStyle w:val="Heading1"/>
        <w:pBdr>
          <w:bottom w:val="single" w:color="000000" w:sz="6" w:space="4"/>
        </w:pBdr>
        <w:spacing w:after="120" w:before="400"/>
      </w:pPr>
      <w:r>
        <w:rPr>
          <w:rFonts w:ascii="Georgia" w:cs="Georgia" w:eastAsia="Georgia" w:hAnsi="Georgia"/>
          <w:b/>
          <w:bCs/>
          <w:color w:val="000000"/>
          <w:sz w:val="26"/>
          <w:szCs w:val="26"/>
        </w:rPr>
        <w:t xml:space="preserve">Cookies and Tracking Technologies</w:t>
      </w:r>
    </w:p>
    <w:p>
      <w:pPr>
        <w:pStyle w:val="Heading2"/>
        <w:spacing w:after="100" w:before="300"/>
      </w:pPr>
      <w:r>
        <w:rPr>
          <w:rFonts w:ascii="Calibri" w:cs="Calibri" w:eastAsia="Calibri" w:hAnsi="Calibri"/>
          <w:b/>
          <w:bCs/>
          <w:color w:val="1A1A1A"/>
          <w:sz w:val="22"/>
          <w:szCs w:val="22"/>
        </w:rPr>
        <w:t xml:space="preserve">8. Use of Cookies</w:t>
      </w:r>
    </w:p>
    <w:p>
      <w:pPr>
        <w:spacing w:after="60" w:before="60"/>
        <w:jc w:val="left"/>
      </w:pPr>
      <w:r>
        <w:rPr>
          <w:rFonts w:ascii="Calibri" w:cs="Calibri" w:eastAsia="Calibri" w:hAnsi="Calibri"/>
          <w:b w:val="false"/>
          <w:bCs w:val="false"/>
          <w:i w:val="false"/>
          <w:iCs w:val="false"/>
          <w:color w:val="1A1A1A"/>
          <w:sz w:val="20"/>
          <w:szCs w:val="20"/>
        </w:rPr>
        <w:t xml:space="preserve">The Platform uses cookies and similar tracking technologies to enhance your experience and collect technical information. Categories of cookies used include:</w:t>
      </w:r>
    </w:p>
    <w:p>
      <w:pPr>
        <w:pStyle w:val="ListParagraph"/>
        <w:numPr>
          <w:ilvl w:val="0"/>
          <w:numId w:val="2"/>
        </w:numPr>
        <w:spacing w:after="40" w:before="40"/>
      </w:pPr>
      <w:r>
        <w:rPr>
          <w:rFonts w:ascii="Calibri" w:cs="Calibri" w:eastAsia="Calibri" w:hAnsi="Calibri"/>
          <w:color w:val="1A1A1A"/>
          <w:sz w:val="20"/>
          <w:szCs w:val="20"/>
        </w:rPr>
        <w:t xml:space="preserve">Strictly Necessary Cookies: Essential for Platform operation, including session management and security;</w:t>
      </w:r>
    </w:p>
    <w:p>
      <w:pPr>
        <w:pStyle w:val="ListParagraph"/>
        <w:numPr>
          <w:ilvl w:val="0"/>
          <w:numId w:val="2"/>
        </w:numPr>
        <w:spacing w:after="40" w:before="40"/>
      </w:pPr>
      <w:r>
        <w:rPr>
          <w:rFonts w:ascii="Calibri" w:cs="Calibri" w:eastAsia="Calibri" w:hAnsi="Calibri"/>
          <w:color w:val="1A1A1A"/>
          <w:sz w:val="20"/>
          <w:szCs w:val="20"/>
        </w:rPr>
        <w:t xml:space="preserve">Functional Cookies: Enable personalized features and remember your preferences;</w:t>
      </w:r>
    </w:p>
    <w:p>
      <w:pPr>
        <w:pStyle w:val="ListParagraph"/>
        <w:numPr>
          <w:ilvl w:val="0"/>
          <w:numId w:val="2"/>
        </w:numPr>
        <w:spacing w:after="40" w:before="40"/>
      </w:pPr>
      <w:r>
        <w:rPr>
          <w:rFonts w:ascii="Calibri" w:cs="Calibri" w:eastAsia="Calibri" w:hAnsi="Calibri"/>
          <w:color w:val="1A1A1A"/>
          <w:sz w:val="20"/>
          <w:szCs w:val="20"/>
        </w:rPr>
        <w:t xml:space="preserve">Analytics Cookies: Help us understand how users interact with the Platform;</w:t>
      </w:r>
    </w:p>
    <w:p>
      <w:pPr>
        <w:pStyle w:val="ListParagraph"/>
        <w:numPr>
          <w:ilvl w:val="0"/>
          <w:numId w:val="2"/>
        </w:numPr>
        <w:spacing w:after="40" w:before="40"/>
      </w:pPr>
      <w:r>
        <w:rPr>
          <w:rFonts w:ascii="Calibri" w:cs="Calibri" w:eastAsia="Calibri" w:hAnsi="Calibri"/>
          <w:color w:val="1A1A1A"/>
          <w:sz w:val="20"/>
          <w:szCs w:val="20"/>
        </w:rPr>
        <w:t xml:space="preserve">Marketing Cookies: Used to deliver relevant content and measure campaign effectiveness.</w:t>
      </w:r>
    </w:p>
    <w:p>
      <w:pPr>
        <w:spacing w:after="60" w:before="60"/>
        <w:jc w:val="left"/>
      </w:pPr>
      <w:r>
        <w:rPr>
          <w:rFonts w:ascii="Calibri" w:cs="Calibri" w:eastAsia="Calibri" w:hAnsi="Calibri"/>
          <w:b w:val="false"/>
          <w:bCs w:val="false"/>
          <w:i w:val="false"/>
          <w:iCs w:val="false"/>
          <w:color w:val="1A1A1A"/>
          <w:sz w:val="20"/>
          <w:szCs w:val="20"/>
        </w:rPr>
        <w:t xml:space="preserve">You may configure your browser to refuse cookies or to alert you when cookies are being sent. However, disabling certain cookies may impair Platform functionality. We respect browser-level Do Not Track signals where technically feasible.</w:t>
      </w:r>
    </w:p>
    <w:p>
      <w:pPr>
        <w:pStyle w:val="Heading1"/>
        <w:pBdr>
          <w:bottom w:val="single" w:color="000000" w:sz="6" w:space="4"/>
        </w:pBdr>
        <w:spacing w:after="120" w:before="400"/>
      </w:pPr>
      <w:r>
        <w:rPr>
          <w:rFonts w:ascii="Georgia" w:cs="Georgia" w:eastAsia="Georgia" w:hAnsi="Georgia"/>
          <w:b/>
          <w:bCs/>
          <w:color w:val="000000"/>
          <w:sz w:val="26"/>
          <w:szCs w:val="26"/>
        </w:rPr>
        <w:t xml:space="preserve">Data Security</w:t>
      </w:r>
    </w:p>
    <w:p>
      <w:pPr>
        <w:pStyle w:val="Heading2"/>
        <w:spacing w:after="100" w:before="300"/>
      </w:pPr>
      <w:r>
        <w:rPr>
          <w:rFonts w:ascii="Calibri" w:cs="Calibri" w:eastAsia="Calibri" w:hAnsi="Calibri"/>
          <w:b/>
          <w:bCs/>
          <w:color w:val="1A1A1A"/>
          <w:sz w:val="22"/>
          <w:szCs w:val="22"/>
        </w:rPr>
        <w:t xml:space="preserve">9. Security Measures</w:t>
      </w:r>
    </w:p>
    <w:p>
      <w:pPr>
        <w:spacing w:after="60" w:before="60"/>
        <w:jc w:val="left"/>
      </w:pPr>
      <w:r>
        <w:rPr>
          <w:rFonts w:ascii="Calibri" w:cs="Calibri" w:eastAsia="Calibri" w:hAnsi="Calibri"/>
          <w:b w:val="false"/>
          <w:bCs w:val="false"/>
          <w:i w:val="false"/>
          <w:iCs w:val="false"/>
          <w:color w:val="1A1A1A"/>
          <w:sz w:val="20"/>
          <w:szCs w:val="20"/>
        </w:rPr>
        <w:t xml:space="preserve">We implement commercially reasonable administrative, technical, and physical security measures to protect your information against unauthorized access, alteration, disclosure, or destruction. These measures include encryption of data in transit and at rest, access controls, and regular security assessments.</w:t>
      </w:r>
    </w:p>
    <w:p>
      <w:pPr>
        <w:spacing w:after="60" w:before="60"/>
        <w:jc w:val="left"/>
      </w:pPr>
      <w:r>
        <w:rPr>
          <w:rFonts w:ascii="Calibri" w:cs="Calibri" w:eastAsia="Calibri" w:hAnsi="Calibri"/>
          <w:b w:val="false"/>
          <w:bCs w:val="false"/>
          <w:i w:val="false"/>
          <w:iCs w:val="false"/>
          <w:color w:val="1A1A1A"/>
          <w:sz w:val="20"/>
          <w:szCs w:val="20"/>
        </w:rPr>
        <w:t xml:space="preserve">HOWEVER, NO METHOD OF TRANSMISSION OVER THE INTERNET OR ELECTRONIC STORAGE IS COMPLETELY SECURE. WHILE WE STRIVE TO PROTECT YOUR INFORMATION, WE CANNOT GUARANTEE ABSOLUTE SECURITY. IN THE EVENT OF A DATA BREACH THAT MATERIALLY AFFECTS YOUR RIGHTS OR FREEDOMS, WE WILL NOTIFY AFFECTED USERS AS REQUIRED BY APPLICABLE LAW.</w:t>
      </w:r>
    </w:p>
    <w:p>
      <w:pPr>
        <w:pStyle w:val="Heading1"/>
        <w:pBdr>
          <w:bottom w:val="single" w:color="000000" w:sz="6" w:space="4"/>
        </w:pBdr>
        <w:spacing w:after="120" w:before="400"/>
      </w:pPr>
      <w:r>
        <w:rPr>
          <w:rFonts w:ascii="Georgia" w:cs="Georgia" w:eastAsia="Georgia" w:hAnsi="Georgia"/>
          <w:b/>
          <w:bCs/>
          <w:color w:val="000000"/>
          <w:sz w:val="26"/>
          <w:szCs w:val="26"/>
        </w:rPr>
        <w:t xml:space="preserve">Your Rights and Choices</w:t>
      </w:r>
    </w:p>
    <w:p>
      <w:pPr>
        <w:pStyle w:val="Heading2"/>
        <w:spacing w:after="100" w:before="300"/>
      </w:pPr>
      <w:r>
        <w:rPr>
          <w:rFonts w:ascii="Calibri" w:cs="Calibri" w:eastAsia="Calibri" w:hAnsi="Calibri"/>
          <w:b/>
          <w:bCs/>
          <w:color w:val="1A1A1A"/>
          <w:sz w:val="22"/>
          <w:szCs w:val="22"/>
        </w:rPr>
        <w:t xml:space="preserve">10. Data Subject Rights</w:t>
      </w:r>
    </w:p>
    <w:p>
      <w:pPr>
        <w:spacing w:after="60" w:before="60"/>
        <w:jc w:val="left"/>
      </w:pPr>
      <w:r>
        <w:rPr>
          <w:rFonts w:ascii="Calibri" w:cs="Calibri" w:eastAsia="Calibri" w:hAnsi="Calibri"/>
          <w:b w:val="false"/>
          <w:bCs w:val="false"/>
          <w:i w:val="false"/>
          <w:iCs w:val="false"/>
          <w:color w:val="1A1A1A"/>
          <w:sz w:val="20"/>
          <w:szCs w:val="20"/>
        </w:rPr>
        <w:t xml:space="preserve">Subject to applicable law, you may have the following rights with respect to your personal information:</w:t>
      </w:r>
    </w:p>
    <w:p>
      <w:pPr>
        <w:pStyle w:val="ListParagraph"/>
        <w:numPr>
          <w:ilvl w:val="0"/>
          <w:numId w:val="2"/>
        </w:numPr>
        <w:spacing w:after="40" w:before="40"/>
      </w:pPr>
      <w:r>
        <w:rPr>
          <w:rFonts w:ascii="Calibri" w:cs="Calibri" w:eastAsia="Calibri" w:hAnsi="Calibri"/>
          <w:color w:val="1A1A1A"/>
          <w:sz w:val="20"/>
          <w:szCs w:val="20"/>
        </w:rPr>
        <w:t xml:space="preserve">Access: You may request a copy of the personal information we hold about you;</w:t>
      </w:r>
    </w:p>
    <w:p>
      <w:pPr>
        <w:pStyle w:val="ListParagraph"/>
        <w:numPr>
          <w:ilvl w:val="0"/>
          <w:numId w:val="2"/>
        </w:numPr>
        <w:spacing w:after="40" w:before="40"/>
      </w:pPr>
      <w:r>
        <w:rPr>
          <w:rFonts w:ascii="Calibri" w:cs="Calibri" w:eastAsia="Calibri" w:hAnsi="Calibri"/>
          <w:color w:val="1A1A1A"/>
          <w:sz w:val="20"/>
          <w:szCs w:val="20"/>
        </w:rPr>
        <w:t xml:space="preserve">Correction: You may request that we correct inaccurate or incomplete personal information;</w:t>
      </w:r>
    </w:p>
    <w:p>
      <w:pPr>
        <w:pStyle w:val="ListParagraph"/>
        <w:numPr>
          <w:ilvl w:val="0"/>
          <w:numId w:val="2"/>
        </w:numPr>
        <w:spacing w:after="40" w:before="40"/>
      </w:pPr>
      <w:r>
        <w:rPr>
          <w:rFonts w:ascii="Calibri" w:cs="Calibri" w:eastAsia="Calibri" w:hAnsi="Calibri"/>
          <w:color w:val="1A1A1A"/>
          <w:sz w:val="20"/>
          <w:szCs w:val="20"/>
        </w:rPr>
        <w:t xml:space="preserve">Deletion: You may request that we delete your personal information, subject to our legal obligations and legitimate business needs;</w:t>
      </w:r>
    </w:p>
    <w:p>
      <w:pPr>
        <w:pStyle w:val="ListParagraph"/>
        <w:numPr>
          <w:ilvl w:val="0"/>
          <w:numId w:val="2"/>
        </w:numPr>
        <w:spacing w:after="40" w:before="40"/>
      </w:pPr>
      <w:r>
        <w:rPr>
          <w:rFonts w:ascii="Calibri" w:cs="Calibri" w:eastAsia="Calibri" w:hAnsi="Calibri"/>
          <w:color w:val="1A1A1A"/>
          <w:sz w:val="20"/>
          <w:szCs w:val="20"/>
        </w:rPr>
        <w:t xml:space="preserve">Portability: Where technically feasible, you may request your information in a structured, commonly used format;</w:t>
      </w:r>
    </w:p>
    <w:p>
      <w:pPr>
        <w:pStyle w:val="ListParagraph"/>
        <w:numPr>
          <w:ilvl w:val="0"/>
          <w:numId w:val="2"/>
        </w:numPr>
        <w:spacing w:after="40" w:before="40"/>
      </w:pPr>
      <w:r>
        <w:rPr>
          <w:rFonts w:ascii="Calibri" w:cs="Calibri" w:eastAsia="Calibri" w:hAnsi="Calibri"/>
          <w:color w:val="1A1A1A"/>
          <w:sz w:val="20"/>
          <w:szCs w:val="20"/>
        </w:rPr>
        <w:t xml:space="preserve">Opt-Out of Marketing: You may opt out of receiving marketing communications at any time by using the unsubscribe link in emails or by contacting us directly.</w:t>
      </w:r>
    </w:p>
    <w:p>
      <w:pPr>
        <w:spacing w:after="60" w:before="60"/>
        <w:jc w:val="left"/>
      </w:pPr>
      <w:r>
        <w:rPr>
          <w:rFonts w:ascii="Calibri" w:cs="Calibri" w:eastAsia="Calibri" w:hAnsi="Calibri"/>
          <w:b w:val="false"/>
          <w:bCs w:val="false"/>
          <w:i w:val="false"/>
          <w:iCs w:val="false"/>
          <w:color w:val="1A1A1A"/>
          <w:sz w:val="20"/>
          <w:szCs w:val="20"/>
        </w:rPr>
        <w:t xml:space="preserve">To exercise any of these rights, please contact us at the information provided in Section 13. We will respond to requests within a reasonable timeframe and in accordance with applicable law. Note that exercising certain rights may affect your ability to use Platform features.</w:t>
      </w:r>
    </w:p>
    <w:p>
      <w:pPr>
        <w:pStyle w:val="Heading1"/>
        <w:pBdr>
          <w:bottom w:val="single" w:color="000000" w:sz="6" w:space="4"/>
        </w:pBdr>
        <w:spacing w:after="120" w:before="400"/>
      </w:pPr>
      <w:r>
        <w:rPr>
          <w:rFonts w:ascii="Georgia" w:cs="Georgia" w:eastAsia="Georgia" w:hAnsi="Georgia"/>
          <w:b/>
          <w:bCs/>
          <w:color w:val="000000"/>
          <w:sz w:val="26"/>
          <w:szCs w:val="26"/>
        </w:rPr>
        <w:t xml:space="preserve">Special Provisions</w:t>
      </w:r>
    </w:p>
    <w:p>
      <w:pPr>
        <w:pStyle w:val="Heading2"/>
        <w:spacing w:after="100" w:before="300"/>
      </w:pPr>
      <w:r>
        <w:rPr>
          <w:rFonts w:ascii="Calibri" w:cs="Calibri" w:eastAsia="Calibri" w:hAnsi="Calibri"/>
          <w:b/>
          <w:bCs/>
          <w:color w:val="1A1A1A"/>
          <w:sz w:val="22"/>
          <w:szCs w:val="22"/>
        </w:rPr>
        <w:t xml:space="preserve">11. Children's Privacy</w:t>
      </w:r>
    </w:p>
    <w:p>
      <w:pPr>
        <w:spacing w:after="60" w:before="60"/>
        <w:jc w:val="left"/>
      </w:pPr>
      <w:r>
        <w:rPr>
          <w:rFonts w:ascii="Calibri" w:cs="Calibri" w:eastAsia="Calibri" w:hAnsi="Calibri"/>
          <w:b w:val="false"/>
          <w:bCs w:val="false"/>
          <w:i w:val="false"/>
          <w:iCs w:val="false"/>
          <w:color w:val="1A1A1A"/>
          <w:sz w:val="20"/>
          <w:szCs w:val="20"/>
        </w:rPr>
        <w:t xml:space="preserve">The Platform is not directed to individuals under the age of eighteen (18) years, and we do not knowingly collect personal information from minors. If we become aware that we have collected personal information from a minor without verified parental consent, we will take steps to delete such information promptly. If you believe we may have collected information from a minor, please contact us immediately.</w:t>
      </w:r>
    </w:p>
    <w:p>
      <w:pPr>
        <w:pStyle w:val="Heading2"/>
        <w:spacing w:after="100" w:before="300"/>
      </w:pPr>
      <w:r>
        <w:rPr>
          <w:rFonts w:ascii="Calibri" w:cs="Calibri" w:eastAsia="Calibri" w:hAnsi="Calibri"/>
          <w:b/>
          <w:bCs/>
          <w:color w:val="1A1A1A"/>
          <w:sz w:val="22"/>
          <w:szCs w:val="22"/>
        </w:rPr>
        <w:t xml:space="preserve">12. International Users</w:t>
      </w:r>
    </w:p>
    <w:p>
      <w:pPr>
        <w:spacing w:after="60" w:before="60"/>
        <w:jc w:val="left"/>
      </w:pPr>
      <w:r>
        <w:rPr>
          <w:rFonts w:ascii="Calibri" w:cs="Calibri" w:eastAsia="Calibri" w:hAnsi="Calibri"/>
          <w:b w:val="false"/>
          <w:bCs w:val="false"/>
          <w:i w:val="false"/>
          <w:iCs w:val="false"/>
          <w:color w:val="1A1A1A"/>
          <w:sz w:val="20"/>
          <w:szCs w:val="20"/>
        </w:rPr>
        <w:t xml:space="preserve">The Platform is operated from the United States. If you access the Platform from outside the United States, your information will be transferred to, stored, and processed in the United States, where data protection laws may differ from those of your home jurisdiction. By using the Platform, you consent to this transfer and processing. We maintain appropriate safeguards for international data transfers where required by applicable law.</w:t>
      </w:r>
    </w:p>
    <w:p>
      <w:pPr>
        <w:pStyle w:val="Heading1"/>
        <w:pBdr>
          <w:bottom w:val="single" w:color="000000" w:sz="6" w:space="4"/>
        </w:pBdr>
        <w:spacing w:after="120" w:before="400"/>
      </w:pPr>
      <w:r>
        <w:rPr>
          <w:rFonts w:ascii="Georgia" w:cs="Georgia" w:eastAsia="Georgia" w:hAnsi="Georgia"/>
          <w:b/>
          <w:bCs/>
          <w:color w:val="000000"/>
          <w:sz w:val="26"/>
          <w:szCs w:val="26"/>
        </w:rPr>
        <w:t xml:space="preserve">Changes and Contact</w:t>
      </w:r>
    </w:p>
    <w:p>
      <w:pPr>
        <w:pStyle w:val="Heading2"/>
        <w:spacing w:after="100" w:before="300"/>
      </w:pPr>
      <w:r>
        <w:rPr>
          <w:rFonts w:ascii="Calibri" w:cs="Calibri" w:eastAsia="Calibri" w:hAnsi="Calibri"/>
          <w:b/>
          <w:bCs/>
          <w:color w:val="1A1A1A"/>
          <w:sz w:val="22"/>
          <w:szCs w:val="22"/>
        </w:rPr>
        <w:t xml:space="preserve">13. California Privacy Rights — CCPA/CPRA Notice</w:t>
      </w:r>
    </w:p>
    <w:p>
      <w:pPr>
        <w:spacing w:after="60" w:before="60"/>
        <w:jc w:val="left"/>
      </w:pPr>
      <w:r>
        <w:rPr>
          <w:rFonts w:ascii="Calibri" w:cs="Calibri" w:eastAsia="Calibri" w:hAnsi="Calibri"/>
          <w:b w:val="false"/>
          <w:bCs w:val="false"/>
          <w:i w:val="false"/>
          <w:iCs w:val="false"/>
          <w:color w:val="1A1A1A"/>
          <w:sz w:val="20"/>
          <w:szCs w:val="20"/>
        </w:rPr>
        <w:t xml:space="preserve">This section applies exclusively to residents of the State of California and supplements the general Privacy Policy set forth above. It is provided in accordance with the California Consumer Privacy Act of 2018, as amended by the California Privacy Rights Act of 2020 (collectively, "CCPA/CPRA"). Capitalized terms used in this section have the meanings ascribed to them under the CCPA/CPRA.</w:t>
      </w:r>
    </w:p>
    <w:p>
      <w:pPr>
        <w:pStyle w:val="Heading3"/>
        <w:spacing w:after="80" w:before="220"/>
      </w:pPr>
      <w:r>
        <w:rPr>
          <w:rFonts w:ascii="Calibri" w:cs="Calibri" w:eastAsia="Calibri" w:hAnsi="Calibri"/>
          <w:b/>
          <w:bCs/>
          <w:color w:val="4A4A4A"/>
          <w:sz w:val="20"/>
          <w:szCs w:val="20"/>
        </w:rPr>
        <w:t xml:space="preserve">13.1  Categories of Personal Information Collected</w:t>
      </w:r>
    </w:p>
    <w:p>
      <w:pPr>
        <w:spacing w:after="60" w:before="60"/>
        <w:jc w:val="left"/>
      </w:pPr>
      <w:r>
        <w:rPr>
          <w:rFonts w:ascii="Calibri" w:cs="Calibri" w:eastAsia="Calibri" w:hAnsi="Calibri"/>
          <w:b w:val="false"/>
          <w:bCs w:val="false"/>
          <w:i w:val="false"/>
          <w:iCs w:val="false"/>
          <w:color w:val="1A1A1A"/>
          <w:sz w:val="20"/>
          <w:szCs w:val="20"/>
        </w:rPr>
        <w:t xml:space="preserve">In the preceding twelve (12) months, we have collected the following categories of Personal Information from California consumers:</w:t>
      </w:r>
    </w:p>
    <w:p>
      <w:pPr>
        <w:pStyle w:val="ListParagraph"/>
        <w:numPr>
          <w:ilvl w:val="0"/>
          <w:numId w:val="2"/>
        </w:numPr>
        <w:spacing w:after="40" w:before="40"/>
      </w:pPr>
      <w:r>
        <w:rPr>
          <w:rFonts w:ascii="Calibri" w:cs="Calibri" w:eastAsia="Calibri" w:hAnsi="Calibri"/>
          <w:color w:val="1A1A1A"/>
          <w:sz w:val="20"/>
          <w:szCs w:val="20"/>
        </w:rPr>
        <w:t xml:space="preserve">Identifiers: name, email address, IP address, and — if optionally provided — phone number;</w:t>
      </w:r>
    </w:p>
    <w:p>
      <w:pPr>
        <w:pStyle w:val="ListParagraph"/>
        <w:numPr>
          <w:ilvl w:val="0"/>
          <w:numId w:val="2"/>
        </w:numPr>
        <w:spacing w:after="40" w:before="40"/>
      </w:pPr>
      <w:r>
        <w:rPr>
          <w:rFonts w:ascii="Calibri" w:cs="Calibri" w:eastAsia="Calibri" w:hAnsi="Calibri"/>
          <w:color w:val="1A1A1A"/>
          <w:sz w:val="20"/>
          <w:szCs w:val="20"/>
        </w:rPr>
        <w:t xml:space="preserve">Commercial Information: information about services you have purchased or considered purchasing through the Platform;</w:t>
      </w:r>
    </w:p>
    <w:p>
      <w:pPr>
        <w:pStyle w:val="ListParagraph"/>
        <w:numPr>
          <w:ilvl w:val="0"/>
          <w:numId w:val="2"/>
        </w:numPr>
        <w:spacing w:after="40" w:before="40"/>
      </w:pPr>
      <w:r>
        <w:rPr>
          <w:rFonts w:ascii="Calibri" w:cs="Calibri" w:eastAsia="Calibri" w:hAnsi="Calibri"/>
          <w:color w:val="1A1A1A"/>
          <w:sz w:val="20"/>
          <w:szCs w:val="20"/>
        </w:rPr>
        <w:t xml:space="preserve">Internet or Other Electronic Network Activity Information: browsing history on the Platform, search queries, interactions with Platform features, and device and browser data;</w:t>
      </w:r>
    </w:p>
    <w:p>
      <w:pPr>
        <w:pStyle w:val="ListParagraph"/>
        <w:numPr>
          <w:ilvl w:val="0"/>
          <w:numId w:val="2"/>
        </w:numPr>
        <w:spacing w:after="40" w:before="40"/>
      </w:pPr>
      <w:r>
        <w:rPr>
          <w:rFonts w:ascii="Calibri" w:cs="Calibri" w:eastAsia="Calibri" w:hAnsi="Calibri"/>
          <w:color w:val="1A1A1A"/>
          <w:sz w:val="20"/>
          <w:szCs w:val="20"/>
        </w:rPr>
        <w:t xml:space="preserve">Professional or Employment-Related Information: beauty professional license status, business name, business type, and operational business data submitted through the Assessment;</w:t>
      </w:r>
    </w:p>
    <w:p>
      <w:pPr>
        <w:pStyle w:val="ListParagraph"/>
        <w:numPr>
          <w:ilvl w:val="0"/>
          <w:numId w:val="2"/>
        </w:numPr>
        <w:spacing w:after="40" w:before="40"/>
      </w:pPr>
      <w:r>
        <w:rPr>
          <w:rFonts w:ascii="Calibri" w:cs="Calibri" w:eastAsia="Calibri" w:hAnsi="Calibri"/>
          <w:color w:val="1A1A1A"/>
          <w:sz w:val="20"/>
          <w:szCs w:val="20"/>
        </w:rPr>
        <w:t xml:space="preserve">Inferences Drawn from Personal Information: Healthy Hair Clarity Report™ findings, business maturity classification, and strategic recommendations generated from submitted Assessment data.</w:t>
      </w:r>
    </w:p>
    <w:p>
      <w:pPr>
        <w:spacing w:after="60" w:before="60"/>
        <w:jc w:val="left"/>
      </w:pPr>
      <w:r>
        <w:rPr>
          <w:rFonts w:ascii="Calibri" w:cs="Calibri" w:eastAsia="Calibri" w:hAnsi="Calibri"/>
          <w:b w:val="false"/>
          <w:bCs w:val="false"/>
          <w:i w:val="false"/>
          <w:iCs w:val="false"/>
          <w:color w:val="1A1A1A"/>
          <w:sz w:val="20"/>
          <w:szCs w:val="20"/>
        </w:rPr>
        <w:t xml:space="preserve">We do not collect sensitive personal information as defined under the CPRA (such as Social Security numbers, financial account credentials, precise geolocation, racial or ethnic origin, religious beliefs, or biometric data) through the Platform.</w:t>
      </w:r>
    </w:p>
    <w:p>
      <w:pPr>
        <w:pStyle w:val="Heading3"/>
        <w:spacing w:after="80" w:before="220"/>
      </w:pPr>
      <w:r>
        <w:rPr>
          <w:rFonts w:ascii="Calibri" w:cs="Calibri" w:eastAsia="Calibri" w:hAnsi="Calibri"/>
          <w:b/>
          <w:bCs/>
          <w:color w:val="4A4A4A"/>
          <w:sz w:val="20"/>
          <w:szCs w:val="20"/>
        </w:rPr>
        <w:t xml:space="preserve">13.2  Purposes for Which Personal Information Is Collected and Used</w:t>
      </w:r>
    </w:p>
    <w:p>
      <w:pPr>
        <w:spacing w:after="60" w:before="60"/>
        <w:jc w:val="left"/>
      </w:pPr>
      <w:r>
        <w:rPr>
          <w:rFonts w:ascii="Calibri" w:cs="Calibri" w:eastAsia="Calibri" w:hAnsi="Calibri"/>
          <w:b w:val="false"/>
          <w:bCs w:val="false"/>
          <w:i w:val="false"/>
          <w:iCs w:val="false"/>
          <w:color w:val="1A1A1A"/>
          <w:sz w:val="20"/>
          <w:szCs w:val="20"/>
        </w:rPr>
        <w:t xml:space="preserve">We collect and use the categories of Personal Information identified above for the following business and commercial purposes:</w:t>
      </w:r>
    </w:p>
    <w:p>
      <w:pPr>
        <w:pStyle w:val="ListParagraph"/>
        <w:numPr>
          <w:ilvl w:val="0"/>
          <w:numId w:val="2"/>
        </w:numPr>
        <w:spacing w:after="40" w:before="40"/>
      </w:pPr>
      <w:r>
        <w:rPr>
          <w:rFonts w:ascii="Calibri" w:cs="Calibri" w:eastAsia="Calibri" w:hAnsi="Calibri"/>
          <w:color w:val="1A1A1A"/>
          <w:sz w:val="20"/>
          <w:szCs w:val="20"/>
        </w:rPr>
        <w:t xml:space="preserve">To provide the Assessment, generate personalized Reports, and deliver the Services you request;</w:t>
      </w:r>
    </w:p>
    <w:p>
      <w:pPr>
        <w:pStyle w:val="ListParagraph"/>
        <w:numPr>
          <w:ilvl w:val="0"/>
          <w:numId w:val="2"/>
        </w:numPr>
        <w:spacing w:after="40" w:before="40"/>
      </w:pPr>
      <w:r>
        <w:rPr>
          <w:rFonts w:ascii="Calibri" w:cs="Calibri" w:eastAsia="Calibri" w:hAnsi="Calibri"/>
          <w:color w:val="1A1A1A"/>
          <w:sz w:val="20"/>
          <w:szCs w:val="20"/>
        </w:rPr>
        <w:t xml:space="preserve">To operate, maintain, secure, and improve the Platform and its underlying Proprietary Frameworks;</w:t>
      </w:r>
    </w:p>
    <w:p>
      <w:pPr>
        <w:pStyle w:val="ListParagraph"/>
        <w:numPr>
          <w:ilvl w:val="0"/>
          <w:numId w:val="2"/>
        </w:numPr>
        <w:spacing w:after="40" w:before="40"/>
      </w:pPr>
      <w:r>
        <w:rPr>
          <w:rFonts w:ascii="Calibri" w:cs="Calibri" w:eastAsia="Calibri" w:hAnsi="Calibri"/>
          <w:color w:val="1A1A1A"/>
          <w:sz w:val="20"/>
          <w:szCs w:val="20"/>
        </w:rPr>
        <w:t xml:space="preserve">To communicate with you regarding your account, Services, and Platform updates;</w:t>
      </w:r>
    </w:p>
    <w:p>
      <w:pPr>
        <w:pStyle w:val="ListParagraph"/>
        <w:numPr>
          <w:ilvl w:val="0"/>
          <w:numId w:val="2"/>
        </w:numPr>
        <w:spacing w:after="40" w:before="40"/>
      </w:pPr>
      <w:r>
        <w:rPr>
          <w:rFonts w:ascii="Calibri" w:cs="Calibri" w:eastAsia="Calibri" w:hAnsi="Calibri"/>
          <w:color w:val="1A1A1A"/>
          <w:sz w:val="20"/>
          <w:szCs w:val="20"/>
        </w:rPr>
        <w:t xml:space="preserve">To send marketing and educational communications (where you have provided consent or as otherwise permitted by law);</w:t>
      </w:r>
    </w:p>
    <w:p>
      <w:pPr>
        <w:pStyle w:val="ListParagraph"/>
        <w:numPr>
          <w:ilvl w:val="0"/>
          <w:numId w:val="2"/>
        </w:numPr>
        <w:spacing w:after="40" w:before="40"/>
      </w:pPr>
      <w:r>
        <w:rPr>
          <w:rFonts w:ascii="Calibri" w:cs="Calibri" w:eastAsia="Calibri" w:hAnsi="Calibri"/>
          <w:color w:val="1A1A1A"/>
          <w:sz w:val="20"/>
          <w:szCs w:val="20"/>
        </w:rPr>
        <w:t xml:space="preserve">To conduct analytics and understand Platform usage;</w:t>
      </w:r>
    </w:p>
    <w:p>
      <w:pPr>
        <w:pStyle w:val="ListParagraph"/>
        <w:numPr>
          <w:ilvl w:val="0"/>
          <w:numId w:val="2"/>
        </w:numPr>
        <w:spacing w:after="40" w:before="40"/>
      </w:pPr>
      <w:r>
        <w:rPr>
          <w:rFonts w:ascii="Calibri" w:cs="Calibri" w:eastAsia="Calibri" w:hAnsi="Calibri"/>
          <w:color w:val="1A1A1A"/>
          <w:sz w:val="20"/>
          <w:szCs w:val="20"/>
        </w:rPr>
        <w:t xml:space="preserve">To detect, investigate, and prevent fraudulent or unauthorized activity;</w:t>
      </w:r>
    </w:p>
    <w:p>
      <w:pPr>
        <w:pStyle w:val="ListParagraph"/>
        <w:numPr>
          <w:ilvl w:val="0"/>
          <w:numId w:val="2"/>
        </w:numPr>
        <w:spacing w:after="40" w:before="40"/>
      </w:pPr>
      <w:r>
        <w:rPr>
          <w:rFonts w:ascii="Calibri" w:cs="Calibri" w:eastAsia="Calibri" w:hAnsi="Calibri"/>
          <w:color w:val="1A1A1A"/>
          <w:sz w:val="20"/>
          <w:szCs w:val="20"/>
        </w:rPr>
        <w:t xml:space="preserve">To comply with applicable legal obligations.</w:t>
      </w:r>
    </w:p>
    <w:p>
      <w:pPr>
        <w:pStyle w:val="Heading3"/>
        <w:spacing w:after="80" w:before="220"/>
      </w:pPr>
      <w:r>
        <w:rPr>
          <w:rFonts w:ascii="Calibri" w:cs="Calibri" w:eastAsia="Calibri" w:hAnsi="Calibri"/>
          <w:b/>
          <w:bCs/>
          <w:color w:val="4A4A4A"/>
          <w:sz w:val="20"/>
          <w:szCs w:val="20"/>
        </w:rPr>
        <w:t xml:space="preserve">13.3  Categories of Third Parties with Whom Personal Information Is Shared</w:t>
      </w:r>
    </w:p>
    <w:p>
      <w:pPr>
        <w:spacing w:after="60" w:before="60"/>
        <w:jc w:val="left"/>
      </w:pPr>
      <w:r>
        <w:rPr>
          <w:rFonts w:ascii="Calibri" w:cs="Calibri" w:eastAsia="Calibri" w:hAnsi="Calibri"/>
          <w:b w:val="false"/>
          <w:bCs w:val="false"/>
          <w:i w:val="false"/>
          <w:iCs w:val="false"/>
          <w:color w:val="1A1A1A"/>
          <w:sz w:val="20"/>
          <w:szCs w:val="20"/>
        </w:rPr>
        <w:t xml:space="preserve">In the preceding twelve (12) months, we have disclosed Personal Information to the following categories of third parties for the business purposes described above:</w:t>
      </w:r>
    </w:p>
    <w:p>
      <w:pPr>
        <w:pStyle w:val="ListParagraph"/>
        <w:numPr>
          <w:ilvl w:val="0"/>
          <w:numId w:val="2"/>
        </w:numPr>
        <w:spacing w:after="40" w:before="40"/>
      </w:pPr>
      <w:r>
        <w:rPr>
          <w:rFonts w:ascii="Calibri" w:cs="Calibri" w:eastAsia="Calibri" w:hAnsi="Calibri"/>
          <w:color w:val="1A1A1A"/>
          <w:sz w:val="20"/>
          <w:szCs w:val="20"/>
        </w:rPr>
        <w:t xml:space="preserve">Service providers acting as our processors: AI/machine learning providers, cloud hosting providers, analytics providers, email service providers, customer support platforms, and payment processors;</w:t>
      </w:r>
    </w:p>
    <w:p>
      <w:pPr>
        <w:pStyle w:val="ListParagraph"/>
        <w:numPr>
          <w:ilvl w:val="0"/>
          <w:numId w:val="2"/>
        </w:numPr>
        <w:spacing w:after="40" w:before="40"/>
      </w:pPr>
      <w:r>
        <w:rPr>
          <w:rFonts w:ascii="Calibri" w:cs="Calibri" w:eastAsia="Calibri" w:hAnsi="Calibri"/>
          <w:color w:val="1A1A1A"/>
          <w:sz w:val="20"/>
          <w:szCs w:val="20"/>
        </w:rPr>
        <w:t xml:space="preserve">Professional advisors: attorneys and accountants, under confidentiality obligations, as necessary for legal and compliance purposes;</w:t>
      </w:r>
    </w:p>
    <w:p>
      <w:pPr>
        <w:pStyle w:val="ListParagraph"/>
        <w:numPr>
          <w:ilvl w:val="0"/>
          <w:numId w:val="2"/>
        </w:numPr>
        <w:spacing w:after="40" w:before="40"/>
      </w:pPr>
      <w:r>
        <w:rPr>
          <w:rFonts w:ascii="Calibri" w:cs="Calibri" w:eastAsia="Calibri" w:hAnsi="Calibri"/>
          <w:color w:val="1A1A1A"/>
          <w:sz w:val="20"/>
          <w:szCs w:val="20"/>
        </w:rPr>
        <w:t xml:space="preserve">Law enforcement or governmental authorities: where required by applicable law, regulation, or valid legal process.</w:t>
      </w:r>
    </w:p>
    <w:p>
      <w:pPr>
        <w:spacing w:after="60" w:before="60"/>
        <w:jc w:val="left"/>
      </w:pPr>
      <w:r>
        <w:rPr>
          <w:rFonts w:ascii="Calibri" w:cs="Calibri" w:eastAsia="Calibri" w:hAnsi="Calibri"/>
          <w:b w:val="false"/>
          <w:bCs w:val="false"/>
          <w:i w:val="false"/>
          <w:iCs w:val="false"/>
          <w:color w:val="1A1A1A"/>
          <w:sz w:val="20"/>
          <w:szCs w:val="20"/>
        </w:rPr>
        <w:t xml:space="preserve">We do not sell Personal Information to third parties. We do not share Personal Information with third parties for cross-context behavioral advertising purposes as defined under the CPRA.</w:t>
      </w:r>
    </w:p>
    <w:p>
      <w:pPr>
        <w:pStyle w:val="Heading3"/>
        <w:spacing w:after="80" w:before="220"/>
      </w:pPr>
      <w:r>
        <w:rPr>
          <w:rFonts w:ascii="Calibri" w:cs="Calibri" w:eastAsia="Calibri" w:hAnsi="Calibri"/>
          <w:b/>
          <w:bCs/>
          <w:color w:val="4A4A4A"/>
          <w:sz w:val="20"/>
          <w:szCs w:val="20"/>
        </w:rPr>
        <w:t xml:space="preserve">13.4  California Consumer Rights</w:t>
      </w:r>
    </w:p>
    <w:p>
      <w:pPr>
        <w:spacing w:after="60" w:before="60"/>
        <w:jc w:val="left"/>
      </w:pPr>
      <w:r>
        <w:rPr>
          <w:rFonts w:ascii="Calibri" w:cs="Calibri" w:eastAsia="Calibri" w:hAnsi="Calibri"/>
          <w:b w:val="false"/>
          <w:bCs w:val="false"/>
          <w:i w:val="false"/>
          <w:iCs w:val="false"/>
          <w:color w:val="1A1A1A"/>
          <w:sz w:val="20"/>
          <w:szCs w:val="20"/>
        </w:rPr>
        <w:t xml:space="preserve">Subject to verification of your identity and applicable exceptions under the CCPA/CPRA, California residents have the following rights with respect to their Personal Information:</w:t>
      </w:r>
    </w:p>
    <w:p>
      <w:pPr>
        <w:pStyle w:val="ListParagraph"/>
        <w:numPr>
          <w:ilvl w:val="0"/>
          <w:numId w:val="2"/>
        </w:numPr>
        <w:spacing w:after="40" w:before="40"/>
      </w:pPr>
      <w:r>
        <w:rPr>
          <w:rFonts w:ascii="Calibri" w:cs="Calibri" w:eastAsia="Calibri" w:hAnsi="Calibri"/>
          <w:color w:val="1A1A1A"/>
          <w:sz w:val="20"/>
          <w:szCs w:val="20"/>
        </w:rPr>
        <w:t xml:space="preserve">Right to Know: You have the right to request that we disclose the categories and specific pieces of Personal Information we have collected about you, the categories of sources from which we collected it, the purposes for collection and use, and the categories of third parties with whom we share it;</w:t>
      </w:r>
    </w:p>
    <w:p>
      <w:pPr>
        <w:pStyle w:val="ListParagraph"/>
        <w:numPr>
          <w:ilvl w:val="0"/>
          <w:numId w:val="2"/>
        </w:numPr>
        <w:spacing w:after="40" w:before="40"/>
      </w:pPr>
      <w:r>
        <w:rPr>
          <w:rFonts w:ascii="Calibri" w:cs="Calibri" w:eastAsia="Calibri" w:hAnsi="Calibri"/>
          <w:color w:val="1A1A1A"/>
          <w:sz w:val="20"/>
          <w:szCs w:val="20"/>
        </w:rPr>
        <w:t xml:space="preserve">Right to Delete: You have the right to request deletion of your Personal Information that we have collected, subject to certain exceptions (including where retention is necessary to complete a transaction, comply with a legal obligation, or detect security incidents);</w:t>
      </w:r>
    </w:p>
    <w:p>
      <w:pPr>
        <w:pStyle w:val="ListParagraph"/>
        <w:numPr>
          <w:ilvl w:val="0"/>
          <w:numId w:val="2"/>
        </w:numPr>
        <w:spacing w:after="40" w:before="40"/>
      </w:pPr>
      <w:r>
        <w:rPr>
          <w:rFonts w:ascii="Calibri" w:cs="Calibri" w:eastAsia="Calibri" w:hAnsi="Calibri"/>
          <w:color w:val="1A1A1A"/>
          <w:sz w:val="20"/>
          <w:szCs w:val="20"/>
        </w:rPr>
        <w:t xml:space="preserve">Right to Correct: You have the right to request correction of inaccurate Personal Information we maintain about you;</w:t>
      </w:r>
    </w:p>
    <w:p>
      <w:pPr>
        <w:pStyle w:val="ListParagraph"/>
        <w:numPr>
          <w:ilvl w:val="0"/>
          <w:numId w:val="2"/>
        </w:numPr>
        <w:spacing w:after="40" w:before="40"/>
      </w:pPr>
      <w:r>
        <w:rPr>
          <w:rFonts w:ascii="Calibri" w:cs="Calibri" w:eastAsia="Calibri" w:hAnsi="Calibri"/>
          <w:color w:val="1A1A1A"/>
          <w:sz w:val="20"/>
          <w:szCs w:val="20"/>
        </w:rPr>
        <w:t xml:space="preserve">Right to Opt-Out of Sale or Sharing: We do not sell or share Personal Information for cross-context behavioral advertising; however, you may submit an opt-out request if you believe your information has been shared for such purposes;</w:t>
      </w:r>
    </w:p>
    <w:p>
      <w:pPr>
        <w:pStyle w:val="ListParagraph"/>
        <w:numPr>
          <w:ilvl w:val="0"/>
          <w:numId w:val="2"/>
        </w:numPr>
        <w:spacing w:after="40" w:before="40"/>
      </w:pPr>
      <w:r>
        <w:rPr>
          <w:rFonts w:ascii="Calibri" w:cs="Calibri" w:eastAsia="Calibri" w:hAnsi="Calibri"/>
          <w:color w:val="1A1A1A"/>
          <w:sz w:val="20"/>
          <w:szCs w:val="20"/>
        </w:rPr>
        <w:t xml:space="preserve">Right to Limit Use of Sensitive Personal Information: To the extent we collect sensitive personal information, you have the right to direct us to limit its use to purposes authorized under the CPRA;</w:t>
      </w:r>
    </w:p>
    <w:p>
      <w:pPr>
        <w:pStyle w:val="ListParagraph"/>
        <w:numPr>
          <w:ilvl w:val="0"/>
          <w:numId w:val="2"/>
        </w:numPr>
        <w:spacing w:after="40" w:before="40"/>
      </w:pPr>
      <w:r>
        <w:rPr>
          <w:rFonts w:ascii="Calibri" w:cs="Calibri" w:eastAsia="Calibri" w:hAnsi="Calibri"/>
          <w:color w:val="1A1A1A"/>
          <w:sz w:val="20"/>
          <w:szCs w:val="20"/>
        </w:rPr>
        <w:t xml:space="preserve">Right to Non-Discrimination: We will not discriminate against you for exercising any of your CCPA/CPRA rights. We will not deny you services, charge you different prices, or provide a different level of service quality as a result of your exercise of these rights.</w:t>
      </w:r>
    </w:p>
    <w:p>
      <w:pPr>
        <w:pStyle w:val="Heading3"/>
        <w:spacing w:after="80" w:before="220"/>
      </w:pPr>
      <w:r>
        <w:rPr>
          <w:rFonts w:ascii="Calibri" w:cs="Calibri" w:eastAsia="Calibri" w:hAnsi="Calibri"/>
          <w:b/>
          <w:bCs/>
          <w:color w:val="4A4A4A"/>
          <w:sz w:val="20"/>
          <w:szCs w:val="20"/>
        </w:rPr>
        <w:t xml:space="preserve">13.5  How to Submit a California Privacy Request</w:t>
      </w:r>
    </w:p>
    <w:p>
      <w:pPr>
        <w:spacing w:after="60" w:before="60"/>
        <w:jc w:val="left"/>
      </w:pPr>
      <w:r>
        <w:rPr>
          <w:rFonts w:ascii="Calibri" w:cs="Calibri" w:eastAsia="Calibri" w:hAnsi="Calibri"/>
          <w:b w:val="false"/>
          <w:bCs w:val="false"/>
          <w:i w:val="false"/>
          <w:iCs w:val="false"/>
          <w:color w:val="1A1A1A"/>
          <w:sz w:val="20"/>
          <w:szCs w:val="20"/>
        </w:rPr>
        <w:t xml:space="preserve">To exercise any of the rights described in Section 13.4, California residents may submit a verifiable consumer request by:</w:t>
      </w:r>
    </w:p>
    <w:p>
      <w:pPr>
        <w:pStyle w:val="ListParagraph"/>
        <w:numPr>
          <w:ilvl w:val="0"/>
          <w:numId w:val="2"/>
        </w:numPr>
        <w:spacing w:after="40" w:before="40"/>
      </w:pPr>
      <w:r>
        <w:rPr>
          <w:rFonts w:ascii="Calibri" w:cs="Calibri" w:eastAsia="Calibri" w:hAnsi="Calibri"/>
          <w:color w:val="1A1A1A"/>
          <w:sz w:val="20"/>
          <w:szCs w:val="20"/>
        </w:rPr>
        <w:t xml:space="preserve">Emailing: [hello@benitadavis.com] with the subject line "California Privacy Request";</w:t>
      </w:r>
    </w:p>
    <w:p>
      <w:pPr>
        <w:pStyle w:val="ListParagraph"/>
        <w:numPr>
          <w:ilvl w:val="0"/>
          <w:numId w:val="2"/>
        </w:numPr>
        <w:spacing w:after="40" w:before="40"/>
      </w:pPr>
      <w:r>
        <w:rPr>
          <w:rFonts w:ascii="Calibri" w:cs="Calibri" w:eastAsia="Calibri" w:hAnsi="Calibri"/>
          <w:color w:val="1A1A1A"/>
          <w:sz w:val="20"/>
          <w:szCs w:val="20"/>
        </w:rPr>
        <w:t xml:space="preserve">Mailing a written request to: Panache Hair Company LLC — Privacy, [Address, City, Georgia, ZIP].</w:t>
      </w:r>
    </w:p>
    <w:p>
      <w:pPr>
        <w:spacing w:after="60" w:before="60"/>
        <w:jc w:val="left"/>
      </w:pPr>
      <w:r>
        <w:rPr>
          <w:rFonts w:ascii="Calibri" w:cs="Calibri" w:eastAsia="Calibri" w:hAnsi="Calibri"/>
          <w:b w:val="false"/>
          <w:bCs w:val="false"/>
          <w:i w:val="false"/>
          <w:iCs w:val="false"/>
          <w:color w:val="1A1A1A"/>
          <w:sz w:val="20"/>
          <w:szCs w:val="20"/>
        </w:rPr>
        <w:t xml:space="preserve">We will verify your identity before processing any request. Verification may require you to provide information sufficient to confirm that you are the California resident about whom we hold Personal Information. We will respond to verifiable requests within forty-five (45) days of receipt. If we require additional time, we will notify you of the extension and the reason for it within the initial 45-day period.</w:t>
      </w:r>
    </w:p>
    <w:p>
      <w:pPr>
        <w:spacing w:after="60" w:before="60"/>
        <w:jc w:val="left"/>
      </w:pPr>
      <w:r>
        <w:rPr>
          <w:rFonts w:ascii="Calibri" w:cs="Calibri" w:eastAsia="Calibri" w:hAnsi="Calibri"/>
          <w:b w:val="false"/>
          <w:bCs w:val="false"/>
          <w:i w:val="false"/>
          <w:iCs w:val="false"/>
          <w:color w:val="1A1A1A"/>
          <w:sz w:val="20"/>
          <w:szCs w:val="20"/>
        </w:rPr>
        <w:t xml:space="preserve">You may designate an authorized agent to submit a request on your behalf. We may require the authorized agent to provide proof of your written authorization and may require you to verify your identity directly with us.</w:t>
      </w:r>
    </w:p>
    <w:p>
      <w:pPr>
        <w:pStyle w:val="Heading3"/>
        <w:spacing w:after="80" w:before="220"/>
      </w:pPr>
      <w:r>
        <w:rPr>
          <w:rFonts w:ascii="Calibri" w:cs="Calibri" w:eastAsia="Calibri" w:hAnsi="Calibri"/>
          <w:b/>
          <w:bCs/>
          <w:color w:val="4A4A4A"/>
          <w:sz w:val="20"/>
          <w:szCs w:val="20"/>
        </w:rPr>
        <w:t xml:space="preserve">13.6  Data Retention</w:t>
      </w:r>
    </w:p>
    <w:p>
      <w:pPr>
        <w:spacing w:after="60" w:before="60"/>
        <w:jc w:val="left"/>
      </w:pPr>
      <w:r>
        <w:rPr>
          <w:rFonts w:ascii="Calibri" w:cs="Calibri" w:eastAsia="Calibri" w:hAnsi="Calibri"/>
          <w:b w:val="false"/>
          <w:bCs w:val="false"/>
          <w:i w:val="false"/>
          <w:iCs w:val="false"/>
          <w:color w:val="1A1A1A"/>
          <w:sz w:val="20"/>
          <w:szCs w:val="20"/>
        </w:rPr>
        <w:t xml:space="preserve">We retain Personal Information for as long as necessary to fulfill the purposes for which it was collected, including to provide the Services, comply with our legal obligations, resolve disputes, and enforce our agreements. When Personal Information is no longer needed for these purposes, we will securely delete or de-identify it in accordance with our internal data retention schedule.</w:t>
      </w:r>
    </w:p>
    <w:p>
      <w:pPr>
        <w:pStyle w:val="Heading3"/>
        <w:spacing w:after="80" w:before="220"/>
      </w:pPr>
      <w:r>
        <w:rPr>
          <w:rFonts w:ascii="Calibri" w:cs="Calibri" w:eastAsia="Calibri" w:hAnsi="Calibri"/>
          <w:b/>
          <w:bCs/>
          <w:color w:val="4A4A4A"/>
          <w:sz w:val="20"/>
          <w:szCs w:val="20"/>
        </w:rPr>
        <w:t xml:space="preserve">13.7  Shine the Light Disclosure</w:t>
      </w:r>
    </w:p>
    <w:p>
      <w:pPr>
        <w:spacing w:after="60" w:before="60"/>
        <w:jc w:val="left"/>
      </w:pPr>
      <w:r>
        <w:rPr>
          <w:rFonts w:ascii="Calibri" w:cs="Calibri" w:eastAsia="Calibri" w:hAnsi="Calibri"/>
          <w:b w:val="false"/>
          <w:bCs w:val="false"/>
          <w:i w:val="false"/>
          <w:iCs w:val="false"/>
          <w:color w:val="1A1A1A"/>
          <w:sz w:val="20"/>
          <w:szCs w:val="20"/>
        </w:rPr>
        <w:t xml:space="preserve">California Civil Code Section 1798.83 permits California residents who have established a business relationship with us to request information about the categories of personal information (if any) we have disclosed to third parties for their direct marketing purposes during the preceding calendar year. We do not disclose personal information to third parties for their independent direct marketing purposes. For questions, contact us at [hello@benitadavis.com].</w:t>
      </w:r>
    </w:p>
    <w:p>
      <w:pPr>
        <w:pStyle w:val="Heading2"/>
        <w:spacing w:after="100" w:before="300"/>
      </w:pPr>
      <w:r>
        <w:rPr>
          <w:rFonts w:ascii="Calibri" w:cs="Calibri" w:eastAsia="Calibri" w:hAnsi="Calibri"/>
          <w:b/>
          <w:bCs/>
          <w:color w:val="1A1A1A"/>
          <w:sz w:val="22"/>
          <w:szCs w:val="22"/>
        </w:rPr>
        <w:t xml:space="preserve">14. Changes to This Privacy Policy</w:t>
      </w:r>
    </w:p>
    <w:p>
      <w:pPr>
        <w:spacing w:after="60" w:before="60"/>
        <w:jc w:val="left"/>
      </w:pPr>
      <w:r>
        <w:rPr>
          <w:rFonts w:ascii="Calibri" w:cs="Calibri" w:eastAsia="Calibri" w:hAnsi="Calibri"/>
          <w:b w:val="false"/>
          <w:bCs w:val="false"/>
          <w:i w:val="false"/>
          <w:iCs w:val="false"/>
          <w:color w:val="1A1A1A"/>
          <w:sz w:val="20"/>
          <w:szCs w:val="20"/>
        </w:rPr>
        <w:t xml:space="preserve">We may update this Privacy Policy from time to time to reflect changes in our practices, technology, legal requirements, or other factors. Material changes will be communicated via email or Platform notification at least fourteen (14) days before taking effect. The revised policy will indicate the effective date at the top of this document. Your continued use of the Platform after the effective date of any changes constitutes your acceptance of the updated policy.</w:t>
      </w:r>
    </w:p>
    <w:p>
      <w:pPr>
        <w:pStyle w:val="Heading2"/>
        <w:spacing w:after="100" w:before="300"/>
      </w:pPr>
      <w:r>
        <w:rPr>
          <w:rFonts w:ascii="Calibri" w:cs="Calibri" w:eastAsia="Calibri" w:hAnsi="Calibri"/>
          <w:b/>
          <w:bCs/>
          <w:color w:val="1A1A1A"/>
          <w:sz w:val="22"/>
          <w:szCs w:val="22"/>
        </w:rPr>
        <w:t xml:space="preserve">15. Contact Information</w:t>
      </w:r>
    </w:p>
    <w:p>
      <w:pPr>
        <w:spacing w:after="60" w:before="60"/>
        <w:jc w:val="left"/>
      </w:pPr>
      <w:r>
        <w:rPr>
          <w:rFonts w:ascii="Calibri" w:cs="Calibri" w:eastAsia="Calibri" w:hAnsi="Calibri"/>
          <w:b w:val="false"/>
          <w:bCs w:val="false"/>
          <w:i w:val="false"/>
          <w:iCs w:val="false"/>
          <w:color w:val="1A1A1A"/>
          <w:sz w:val="20"/>
          <w:szCs w:val="20"/>
        </w:rPr>
        <w:t xml:space="preserve">For questions, concerns, or requests regarding this Privacy Policy or our data practices, please contact:</w:t>
      </w:r>
    </w:p>
    <w:p>
      <w:pPr>
        <w:spacing w:after="10" w:before="20"/>
      </w:pPr>
    </w:p>
    <w:p>
      <w:pPr>
        <w:spacing w:after="60" w:before="60"/>
        <w:jc w:val="left"/>
      </w:pPr>
      <w:r>
        <w:rPr>
          <w:rFonts w:ascii="Calibri" w:cs="Calibri" w:eastAsia="Calibri" w:hAnsi="Calibri"/>
          <w:b/>
          <w:bCs/>
          <w:i w:val="false"/>
          <w:iCs w:val="false"/>
          <w:color w:val="1A1A1A"/>
          <w:sz w:val="20"/>
          <w:szCs w:val="20"/>
        </w:rPr>
        <w:t xml:space="preserve">Panache Hair Company LLC — Privacy</w:t>
      </w:r>
    </w:p>
    <w:p>
      <w:pPr>
        <w:spacing w:after="60" w:before="60"/>
        <w:jc w:val="left"/>
      </w:pPr>
      <w:r>
        <w:rPr>
          <w:rFonts w:ascii="Calibri" w:cs="Calibri" w:eastAsia="Calibri" w:hAnsi="Calibri"/>
          <w:b w:val="false"/>
          <w:bCs w:val="false"/>
          <w:i w:val="false"/>
          <w:iCs w:val="false"/>
          <w:color w:val="1A1A1A"/>
          <w:sz w:val="20"/>
          <w:szCs w:val="20"/>
        </w:rPr>
        <w:t xml:space="preserve">Benita Davis, Your Healthy Hair Coach</w:t>
      </w:r>
    </w:p>
    <w:p>
      <w:pPr>
        <w:spacing w:after="60" w:before="60"/>
        <w:jc w:val="left"/>
      </w:pPr>
      <w:r>
        <w:rPr>
          <w:rFonts w:ascii="Calibri" w:cs="Calibri" w:eastAsia="Calibri" w:hAnsi="Calibri"/>
          <w:b w:val="false"/>
          <w:bCs w:val="false"/>
          <w:i w:val="false"/>
          <w:iCs w:val="false"/>
          <w:color w:val="1A1A1A"/>
          <w:sz w:val="20"/>
          <w:szCs w:val="20"/>
        </w:rPr>
        <w:t xml:space="preserve">Email: [hello@benitadavis.com]</w:t>
      </w:r>
    </w:p>
    <w:p>
      <w:pPr>
        <w:spacing w:after="60" w:before="60"/>
        <w:jc w:val="left"/>
      </w:pPr>
      <w:r>
        <w:rPr>
          <w:rFonts w:ascii="Calibri" w:cs="Calibri" w:eastAsia="Calibri" w:hAnsi="Calibri"/>
          <w:b w:val="false"/>
          <w:bCs w:val="false"/>
          <w:i w:val="false"/>
          <w:iCs w:val="false"/>
          <w:color w:val="1A1A1A"/>
          <w:sz w:val="20"/>
          <w:szCs w:val="20"/>
        </w:rPr>
        <w:t xml:space="preserve">Mailing Address: [Address, City, Georgia, ZIP]</w:t>
      </w:r>
    </w:p>
    <w:p>
      <w:pPr>
        <w:spacing w:after="20" w:before="4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 2026 Panache Hair Company LLC. All rights reserved.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lvl w:ilvl="1" w15:tentative="1">
      <w:start w:val="1"/>
      <w:numFmt w:val="bullet"/>
      <w:lvlText w:val="◦"/>
      <w:lvlJc w:val="left"/>
      <w:pPr>
        <w:ind w:left="800" w:hanging="240"/>
      </w:pPr>
    </w:lvl>
  </w:abstractNum>
  <w:abstractNum w:abstractNumId="3" w15:restartNumberingAfterBreak="0">
    <w:multiLevelType w:val="hybridMultilevel"/>
    <w:lvl w:ilvl="0" w15:tentative="1">
      <w:start w:val="1"/>
      <w:numFmt w:val="decimal"/>
      <w:lvlText w:val="%1."/>
      <w:lvlJc w:val="left"/>
      <w:pPr>
        <w:ind w:left="480" w:hanging="240"/>
      </w:pPr>
    </w:lvl>
    <w:lvl w:ilvl="1" w15:tentative="1">
      <w:start w:val="1"/>
      <w:numFmt w:val="lowerLetter"/>
      <w:lvlText w:val="(%2)"/>
      <w:lvlJc w:val="left"/>
      <w:pPr>
        <w:ind w:left="8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20" w:before="400"/>
      <w:outlineLvl w:val="0"/>
    </w:pPr>
    <w:rPr>
      <w:rFonts w:ascii="Georgia" w:cs="Georgia" w:eastAsia="Georgia" w:hAnsi="Georgia"/>
      <w:b/>
      <w:bCs/>
      <w:color w:val="000000"/>
      <w:sz w:val="26"/>
      <w:szCs w:val="26"/>
    </w:rPr>
  </w:style>
  <w:style w:type="paragraph" w:styleId="Heading2">
    <w:name w:val="Heading 2"/>
    <w:basedOn w:val="Normal"/>
    <w:next w:val="Normal"/>
    <w:pPr>
      <w:spacing w:after="100" w:before="300"/>
      <w:outlineLvl w:val="1"/>
    </w:pPr>
    <w:rPr>
      <w:rFonts w:ascii="Calibri" w:cs="Calibri" w:eastAsia="Calibri" w:hAnsi="Calibri"/>
      <w:b/>
      <w:bCs/>
      <w:color w:val="1A1A1A"/>
      <w:sz w:val="22"/>
      <w:szCs w:val="22"/>
    </w:rPr>
  </w:style>
  <w:style w:type="paragraph" w:styleId="Heading3">
    <w:name w:val="Heading 3"/>
    <w:basedOn w:val="Normal"/>
    <w:next w:val="Normal"/>
    <w:pPr>
      <w:spacing w:after="80" w:before="220"/>
      <w:outlineLvl w:val="2"/>
    </w:pPr>
    <w:rPr>
      <w:rFonts w:ascii="Calibri" w:cs="Calibri" w:eastAsia="Calibri" w:hAnsi="Calibri"/>
      <w:b/>
      <w:bCs/>
      <w:color w:val="4A4A4A"/>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2026-07-21T22:03:48.022Z</dcterms:created>
  <dcterms:modified xsi:type="dcterms:W3CDTF">2026-07-21T22:03:48.022Z</dcterms:modified>
</cp:coreProperties>
</file>

<file path=docProps/custom.xml><?xml version="1.0" encoding="utf-8"?>
<Properties xmlns="http://schemas.openxmlformats.org/officeDocument/2006/custom-properties" xmlns:vt="http://schemas.openxmlformats.org/officeDocument/2006/docPropsVTypes"/>
</file>