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12" w:space="6"/>
        </w:pBdr>
        <w:spacing w:after="0" w:before="0"/>
      </w:pPr>
      <w:r>
        <w:rPr>
          <w:rFonts w:ascii="Calibri" w:cs="Calibri" w:eastAsia="Calibri" w:hAnsi="Calibri"/>
          <w:b/>
          <w:bCs/>
          <w:caps/>
          <w:color w:val="777777"/>
          <w:spacing w:val="80"/>
          <w:sz w:val="20"/>
          <w:szCs w:val="20"/>
        </w:rPr>
        <w:t xml:space="preserve">PANACHE HAIR COMPANY LLC</w:t>
      </w:r>
    </w:p>
    <w:p>
      <w:pPr>
        <w:spacing w:after="4" w:before="8"/>
      </w:pPr>
      <w:r>
        <w:rPr>
          <w:rFonts w:ascii="Calibri" w:cs="Calibri" w:eastAsia="Calibri" w:hAnsi="Calibri"/>
          <w:i/>
          <w:iCs/>
          <w:color w:val="777777"/>
          <w:sz w:val="18"/>
          <w:szCs w:val="18"/>
        </w:rPr>
        <w:t xml:space="preserve">Benita Davis, Your Healthy Hair Coach</w:t>
      </w:r>
    </w:p>
    <w:p>
      <w:pPr>
        <w:spacing w:after="80" w:before="180"/>
      </w:pPr>
    </w:p>
    <w:p>
      <w:pPr>
        <w:spacing w:after="20" w:before="0"/>
        <w:jc w:val="left"/>
      </w:pPr>
      <w:r>
        <w:rPr>
          <w:rFonts w:ascii="Georgia" w:cs="Georgia" w:eastAsia="Georgia" w:hAnsi="Georgia"/>
          <w:b/>
          <w:bCs/>
          <w:color w:val="000000"/>
          <w:sz w:val="44"/>
          <w:szCs w:val="44"/>
        </w:rPr>
        <w:t xml:space="preserve">AI Assessment Disclaimer</w:t>
      </w:r>
    </w:p>
    <w:p>
      <w:pPr>
        <w:spacing w:after="120" w:before="0"/>
        <w:jc w:val="left"/>
      </w:pPr>
      <w:r>
        <w:rPr>
          <w:rFonts w:ascii="Calibri" w:cs="Calibri" w:eastAsia="Calibri" w:hAnsi="Calibri"/>
          <w:color w:val="4A4A4A"/>
          <w:sz w:val="22"/>
          <w:szCs w:val="22"/>
        </w:rPr>
        <w:t xml:space="preserve">Healthy Hair Clarity Assessment™ — Benita Davis, Your Healthy Hair Coach</w:t>
      </w:r>
    </w:p>
    <w:p>
      <w:pPr>
        <w:pBdr>
          <w:top w:val="single" w:color="CCCCCC" w:sz="4" w:space="4"/>
        </w:pBdr>
        <w:spacing w:after="0" w:before="0"/>
      </w:pPr>
      <w:r>
        <w:t xml:space="preserve"/>
      </w:r>
    </w:p>
    <w:p>
      <w:pPr>
        <w:spacing w:after="20" w:before="20"/>
      </w:pPr>
    </w:p>
    <w:p>
      <w:pPr>
        <w:spacing w:after="40" w:before="0"/>
      </w:pPr>
      <w:r>
        <w:rPr>
          <w:rFonts w:ascii="Calibri" w:cs="Calibri" w:eastAsia="Calibri" w:hAnsi="Calibri"/>
          <w:b/>
          <w:bCs/>
          <w:color w:val="4A4A4A"/>
          <w:sz w:val="19"/>
          <w:szCs w:val="19"/>
        </w:rPr>
        <w:t xml:space="preserve">Effective Date: </w:t>
      </w:r>
      <w:r>
        <w:rPr>
          <w:rFonts w:ascii="Calibri" w:cs="Calibri" w:eastAsia="Calibri" w:hAnsi="Calibri"/>
          <w:color w:val="4A4A4A"/>
          <w:sz w:val="19"/>
          <w:szCs w:val="19"/>
        </w:rPr>
        <w:t xml:space="preserve">July 3, 2026</w:t>
      </w:r>
    </w:p>
    <w:p>
      <w:pPr>
        <w:spacing w:after="60" w:before="0"/>
      </w:pPr>
      <w:r>
        <w:rPr>
          <w:rFonts w:ascii="Calibri" w:cs="Calibri" w:eastAsia="Calibri" w:hAnsi="Calibri"/>
          <w:b/>
          <w:bCs/>
          <w:color w:val="4A4A4A"/>
          <w:sz w:val="19"/>
          <w:szCs w:val="19"/>
        </w:rPr>
        <w:t xml:space="preserve">Jurisdiction: </w:t>
      </w:r>
      <w:r>
        <w:rPr>
          <w:rFonts w:ascii="Calibri" w:cs="Calibri" w:eastAsia="Calibri" w:hAnsi="Calibri"/>
          <w:color w:val="4A4A4A"/>
          <w:sz w:val="19"/>
          <w:szCs w:val="19"/>
        </w:rPr>
        <w:t xml:space="preserve">State of Georgia, United States of America</w:t>
      </w:r>
    </w:p>
    <w:p>
      <w:pPr>
        <w:spacing w:after="40" w:before="4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ATTORNEY-REVIEW NOTICE: These documents are drafted to professional legal standards for review by qualified legal counsel prior to publication. They do not constitute legal advice and should be reviewed, modified as necessary, and approved by a licensed attorney before use.</w:t>
      </w:r>
    </w:p>
    <w:p>
      <w:pPr>
        <w:pBdr>
          <w:bottom w:val="single" w:color="CCCCCC" w:sz="4" w:space="4"/>
        </w:pBdr>
        <w:spacing w:after="0" w:before="20"/>
      </w:pPr>
      <w:r>
        <w:t xml:space="preserve"/>
      </w:r>
    </w:p>
    <w:p>
      <w:pPr>
        <w:spacing w:after="40" w:before="80"/>
      </w:pPr>
    </w:p>
    <w:p>
      <w:pPr>
        <w:pStyle w:val="Heading1"/>
        <w:pBdr>
          <w:bottom w:val="single" w:color="000000" w:sz="6" w:space="4"/>
        </w:pBdr>
        <w:spacing w:after="120" w:before="400"/>
      </w:pPr>
      <w:r>
        <w:rPr>
          <w:rFonts w:ascii="Georgia" w:cs="Georgia" w:eastAsia="Georgia" w:hAnsi="Georgia"/>
          <w:b/>
          <w:bCs/>
          <w:color w:val="000000"/>
          <w:sz w:val="26"/>
          <w:szCs w:val="26"/>
        </w:rPr>
        <w:t xml:space="preserve">Important Notice — Please Read Before Proceeding</w:t>
      </w:r>
    </w:p>
    <w:p>
      <w:pPr>
        <w:spacing w:after="60" w:before="60"/>
        <w:jc w:val="left"/>
      </w:pPr>
      <w:r>
        <w:rPr>
          <w:rFonts w:ascii="Calibri" w:cs="Calibri" w:eastAsia="Calibri" w:hAnsi="Calibri"/>
          <w:b w:val="false"/>
          <w:bCs w:val="false"/>
          <w:i w:val="false"/>
          <w:iCs w:val="false"/>
          <w:color w:val="1A1A1A"/>
          <w:sz w:val="20"/>
          <w:szCs w:val="20"/>
        </w:rPr>
        <w:t xml:space="preserve">This AI Assessment Disclaimer ("Disclaimer") applies to the Healthy Hair Clarity Assessment™ and all Reports, recommendations, and outputs generated through the Benita Davis, Your Healthy Hair Coach Platform operated by Panache Hair Company LLC ("Company"). By proceeding with the Assessment, you acknowledge that you have read, understood, and agreed to the terms of this Disclaimer.</w:t>
      </w:r>
    </w:p>
    <w:p>
      <w:pPr>
        <w:pStyle w:val="Heading1"/>
        <w:pBdr>
          <w:bottom w:val="single" w:color="000000" w:sz="6" w:space="4"/>
        </w:pBdr>
        <w:spacing w:after="120" w:before="400"/>
      </w:pPr>
      <w:r>
        <w:rPr>
          <w:rFonts w:ascii="Georgia" w:cs="Georgia" w:eastAsia="Georgia" w:hAnsi="Georgia"/>
          <w:b/>
          <w:bCs/>
          <w:color w:val="000000"/>
          <w:sz w:val="26"/>
          <w:szCs w:val="26"/>
        </w:rPr>
        <w:t xml:space="preserve">1. Educational and Informational Purpose Only</w:t>
      </w:r>
    </w:p>
    <w:p>
      <w:pPr>
        <w:spacing w:after="60" w:before="60"/>
        <w:jc w:val="left"/>
      </w:pPr>
      <w:r>
        <w:rPr>
          <w:rFonts w:ascii="Calibri" w:cs="Calibri" w:eastAsia="Calibri" w:hAnsi="Calibri"/>
          <w:b w:val="false"/>
          <w:bCs w:val="false"/>
          <w:i w:val="false"/>
          <w:iCs w:val="false"/>
          <w:color w:val="1A1A1A"/>
          <w:sz w:val="20"/>
          <w:szCs w:val="20"/>
        </w:rPr>
        <w:t xml:space="preserve">The Healthy Hair Clarity Assessment™ and all associated Reports, scores, recommendations, and outputs (collectively, "Assessment Outputs") are provided exclusively for general educational and informational purposes. The Assessment is designed to help clients and prospective clients develop greater awareness of their business performance across key operational and strategic categories.</w:t>
      </w:r>
    </w:p>
    <w:p>
      <w:pPr>
        <w:spacing w:after="60" w:before="60"/>
        <w:jc w:val="left"/>
      </w:pPr>
      <w:r>
        <w:rPr>
          <w:rFonts w:ascii="Calibri" w:cs="Calibri" w:eastAsia="Calibri" w:hAnsi="Calibri"/>
          <w:b w:val="false"/>
          <w:bCs w:val="false"/>
          <w:i w:val="false"/>
          <w:iCs w:val="false"/>
          <w:color w:val="1A1A1A"/>
          <w:sz w:val="20"/>
          <w:szCs w:val="20"/>
        </w:rPr>
        <w:t xml:space="preserve">Assessment Outputs are NOT intended to constitute, and shall NOT be construed or relied upon as:</w:t>
      </w:r>
    </w:p>
    <w:p>
      <w:pPr>
        <w:pStyle w:val="ListParagraph"/>
        <w:numPr>
          <w:ilvl w:val="0"/>
          <w:numId w:val="2"/>
        </w:numPr>
        <w:spacing w:after="40" w:before="40"/>
      </w:pPr>
      <w:r>
        <w:rPr>
          <w:rFonts w:ascii="Calibri" w:cs="Calibri" w:eastAsia="Calibri" w:hAnsi="Calibri"/>
          <w:color w:val="1A1A1A"/>
          <w:sz w:val="20"/>
          <w:szCs w:val="20"/>
        </w:rPr>
        <w:t xml:space="preserve">Financial advice, financial planning, or financial analysis;</w:t>
      </w:r>
    </w:p>
    <w:p>
      <w:pPr>
        <w:pStyle w:val="ListParagraph"/>
        <w:numPr>
          <w:ilvl w:val="0"/>
          <w:numId w:val="2"/>
        </w:numPr>
        <w:spacing w:after="40" w:before="40"/>
      </w:pPr>
      <w:r>
        <w:rPr>
          <w:rFonts w:ascii="Calibri" w:cs="Calibri" w:eastAsia="Calibri" w:hAnsi="Calibri"/>
          <w:color w:val="1A1A1A"/>
          <w:sz w:val="20"/>
          <w:szCs w:val="20"/>
        </w:rPr>
        <w:t xml:space="preserve">Accounting, bookkeeping, or tax advice of any kind;</w:t>
      </w:r>
    </w:p>
    <w:p>
      <w:pPr>
        <w:pStyle w:val="ListParagraph"/>
        <w:numPr>
          <w:ilvl w:val="0"/>
          <w:numId w:val="2"/>
        </w:numPr>
        <w:spacing w:after="40" w:before="40"/>
      </w:pPr>
      <w:r>
        <w:rPr>
          <w:rFonts w:ascii="Calibri" w:cs="Calibri" w:eastAsia="Calibri" w:hAnsi="Calibri"/>
          <w:color w:val="1A1A1A"/>
          <w:sz w:val="20"/>
          <w:szCs w:val="20"/>
        </w:rPr>
        <w:t xml:space="preserve">Legal advice, legal opinions, or legal representation;</w:t>
      </w:r>
    </w:p>
    <w:p>
      <w:pPr>
        <w:pStyle w:val="ListParagraph"/>
        <w:numPr>
          <w:ilvl w:val="0"/>
          <w:numId w:val="2"/>
        </w:numPr>
        <w:spacing w:after="40" w:before="40"/>
      </w:pPr>
      <w:r>
        <w:rPr>
          <w:rFonts w:ascii="Calibri" w:cs="Calibri" w:eastAsia="Calibri" w:hAnsi="Calibri"/>
          <w:color w:val="1A1A1A"/>
          <w:sz w:val="20"/>
          <w:szCs w:val="20"/>
        </w:rPr>
        <w:t xml:space="preserve">Investment advice, securities recommendations, or regulated financial services;</w:t>
      </w:r>
    </w:p>
    <w:p>
      <w:pPr>
        <w:pStyle w:val="ListParagraph"/>
        <w:numPr>
          <w:ilvl w:val="0"/>
          <w:numId w:val="2"/>
        </w:numPr>
        <w:spacing w:after="40" w:before="40"/>
      </w:pPr>
      <w:r>
        <w:rPr>
          <w:rFonts w:ascii="Calibri" w:cs="Calibri" w:eastAsia="Calibri" w:hAnsi="Calibri"/>
          <w:color w:val="1A1A1A"/>
          <w:sz w:val="20"/>
          <w:szCs w:val="20"/>
        </w:rPr>
        <w:t xml:space="preserve">Any other form of professional advisory service requiring licensure under applicable federal, state, or local law.</w:t>
      </w:r>
    </w:p>
    <w:p>
      <w:pPr>
        <w:spacing w:after="60" w:before="60"/>
        <w:jc w:val="left"/>
      </w:pPr>
      <w:r>
        <w:rPr>
          <w:rFonts w:ascii="Calibri" w:cs="Calibri" w:eastAsia="Calibri" w:hAnsi="Calibri"/>
          <w:b w:val="false"/>
          <w:bCs w:val="false"/>
          <w:i w:val="false"/>
          <w:iCs w:val="false"/>
          <w:color w:val="1A1A1A"/>
          <w:sz w:val="20"/>
          <w:szCs w:val="20"/>
        </w:rPr>
        <w:t xml:space="preserve">The Company is not a licensed financial advisor, accountant, attorney, or regulated professional services provider. Nothing in the Assessment Outputs shall create a professional advisory relationship between you and the Company.</w:t>
      </w:r>
    </w:p>
    <w:p>
      <w:pPr>
        <w:pStyle w:val="Heading1"/>
        <w:pBdr>
          <w:bottom w:val="single" w:color="000000" w:sz="6" w:space="4"/>
        </w:pBdr>
        <w:spacing w:after="120" w:before="400"/>
      </w:pPr>
      <w:r>
        <w:rPr>
          <w:rFonts w:ascii="Georgia" w:cs="Georgia" w:eastAsia="Georgia" w:hAnsi="Georgia"/>
          <w:b/>
          <w:bCs/>
          <w:color w:val="000000"/>
          <w:sz w:val="26"/>
          <w:szCs w:val="26"/>
        </w:rPr>
        <w:t xml:space="preserve">2. Role of Artificial Intelligence</w:t>
      </w:r>
    </w:p>
    <w:p>
      <w:pPr>
        <w:spacing w:after="60" w:before="60"/>
        <w:jc w:val="left"/>
      </w:pPr>
      <w:r>
        <w:rPr>
          <w:rFonts w:ascii="Calibri" w:cs="Calibri" w:eastAsia="Calibri" w:hAnsi="Calibri"/>
          <w:b w:val="false"/>
          <w:bCs w:val="false"/>
          <w:i w:val="false"/>
          <w:iCs w:val="false"/>
          <w:color w:val="1A1A1A"/>
          <w:sz w:val="20"/>
          <w:szCs w:val="20"/>
        </w:rPr>
        <w:t xml:space="preserve">The Assessment utilizes artificial intelligence technology in combination with the Company's proprietary Business Health Framework, Decision Engine, Business Growth Maturity Model, and Healthy Hair Clarity Report™ findings methodology to analyze your submitted business information and generate personalized Reports.</w:t>
      </w:r>
    </w:p>
    <w:p>
      <w:pPr>
        <w:spacing w:after="60" w:before="60"/>
        <w:jc w:val="left"/>
      </w:pPr>
      <w:r>
        <w:rPr>
          <w:rFonts w:ascii="Calibri" w:cs="Calibri" w:eastAsia="Calibri" w:hAnsi="Calibri"/>
          <w:b w:val="false"/>
          <w:bCs w:val="false"/>
          <w:i w:val="false"/>
          <w:iCs w:val="false"/>
          <w:color w:val="1A1A1A"/>
          <w:sz w:val="20"/>
          <w:szCs w:val="20"/>
        </w:rPr>
        <w:t xml:space="preserve">You expressly acknowledge and understand that:</w:t>
      </w:r>
    </w:p>
    <w:p>
      <w:pPr>
        <w:pStyle w:val="ListParagraph"/>
        <w:numPr>
          <w:ilvl w:val="0"/>
          <w:numId w:val="2"/>
        </w:numPr>
        <w:spacing w:after="40" w:before="40"/>
      </w:pPr>
      <w:r>
        <w:rPr>
          <w:rFonts w:ascii="Calibri" w:cs="Calibri" w:eastAsia="Calibri" w:hAnsi="Calibri"/>
          <w:color w:val="1A1A1A"/>
          <w:sz w:val="20"/>
          <w:szCs w:val="20"/>
        </w:rPr>
        <w:t xml:space="preserve">Assessment Outputs are generated by AI systems processing your submitted data against the Company's proprietary frameworks and scoring algorithms;</w:t>
      </w:r>
    </w:p>
    <w:p>
      <w:pPr>
        <w:pStyle w:val="ListParagraph"/>
        <w:numPr>
          <w:ilvl w:val="0"/>
          <w:numId w:val="2"/>
        </w:numPr>
        <w:spacing w:after="40" w:before="40"/>
      </w:pPr>
      <w:r>
        <w:rPr>
          <w:rFonts w:ascii="Calibri" w:cs="Calibri" w:eastAsia="Calibri" w:hAnsi="Calibri"/>
          <w:color w:val="1A1A1A"/>
          <w:sz w:val="20"/>
          <w:szCs w:val="20"/>
        </w:rPr>
        <w:t xml:space="preserve">Artificial intelligence systems, including those used in the Assessment, may produce outputs that contain errors, inaccuracies, limitations, or biases inherent in AI technology;</w:t>
      </w:r>
    </w:p>
    <w:p>
      <w:pPr>
        <w:pStyle w:val="ListParagraph"/>
        <w:numPr>
          <w:ilvl w:val="0"/>
          <w:numId w:val="2"/>
        </w:numPr>
        <w:spacing w:after="40" w:before="40"/>
      </w:pPr>
      <w:r>
        <w:rPr>
          <w:rFonts w:ascii="Calibri" w:cs="Calibri" w:eastAsia="Calibri" w:hAnsi="Calibri"/>
          <w:color w:val="1A1A1A"/>
          <w:sz w:val="20"/>
          <w:szCs w:val="20"/>
        </w:rPr>
        <w:t xml:space="preserve">AI-generated outputs reflect patterns and analyses based on the information you submit and may not capture nuances, context, or factors not reflected in your responses;</w:t>
      </w:r>
    </w:p>
    <w:p>
      <w:pPr>
        <w:pStyle w:val="ListParagraph"/>
        <w:numPr>
          <w:ilvl w:val="0"/>
          <w:numId w:val="2"/>
        </w:numPr>
        <w:spacing w:after="40" w:before="40"/>
      </w:pPr>
      <w:r>
        <w:rPr>
          <w:rFonts w:ascii="Calibri" w:cs="Calibri" w:eastAsia="Calibri" w:hAnsi="Calibri"/>
          <w:color w:val="1A1A1A"/>
          <w:sz w:val="20"/>
          <w:szCs w:val="20"/>
        </w:rPr>
        <w:t xml:space="preserve">The Assessment does not involve the exercise of human professional judgment on your specific business circumstances;</w:t>
      </w:r>
    </w:p>
    <w:p>
      <w:pPr>
        <w:pStyle w:val="ListParagraph"/>
        <w:numPr>
          <w:ilvl w:val="0"/>
          <w:numId w:val="2"/>
        </w:numPr>
        <w:spacing w:after="40" w:before="40"/>
      </w:pPr>
      <w:r>
        <w:rPr>
          <w:rFonts w:ascii="Calibri" w:cs="Calibri" w:eastAsia="Calibri" w:hAnsi="Calibri"/>
          <w:color w:val="1A1A1A"/>
          <w:sz w:val="20"/>
          <w:szCs w:val="20"/>
        </w:rPr>
        <w:t xml:space="preserve">AI technology continues to evolve, and the Company makes no representation regarding the continued performance characteristics of AI systems used in the Platform.</w:t>
      </w:r>
    </w:p>
    <w:p>
      <w:pPr>
        <w:pStyle w:val="Heading1"/>
        <w:pBdr>
          <w:bottom w:val="single" w:color="000000" w:sz="6" w:space="4"/>
        </w:pBdr>
        <w:spacing w:after="120" w:before="400"/>
      </w:pPr>
      <w:r>
        <w:rPr>
          <w:rFonts w:ascii="Georgia" w:cs="Georgia" w:eastAsia="Georgia" w:hAnsi="Georgia"/>
          <w:b/>
          <w:bCs/>
          <w:color w:val="000000"/>
          <w:sz w:val="26"/>
          <w:szCs w:val="26"/>
        </w:rPr>
        <w:t xml:space="preserve">3. User Responsibility for Business Decisions</w:t>
      </w:r>
    </w:p>
    <w:p>
      <w:pPr>
        <w:spacing w:after="60" w:before="60"/>
        <w:jc w:val="left"/>
      </w:pPr>
      <w:r>
        <w:rPr>
          <w:rFonts w:ascii="Calibri" w:cs="Calibri" w:eastAsia="Calibri" w:hAnsi="Calibri"/>
          <w:b w:val="false"/>
          <w:bCs w:val="false"/>
          <w:i w:val="false"/>
          <w:iCs w:val="false"/>
          <w:color w:val="1A1A1A"/>
          <w:sz w:val="20"/>
          <w:szCs w:val="20"/>
        </w:rPr>
        <w:t xml:space="preserve">YOU REMAIN SOLELY RESPONSIBLE FOR ALL BUSINESS DECISIONS, STRATEGIES, AND ACTIONS TAKEN IN CONNECTION WITH YOUR BEAUTY BUSINESS, REGARDLESS OF ANY ASSESSMENT OUTPUTS OR RECOMMENDATIONS GENERATED BY THE PLATFORM.</w:t>
      </w:r>
    </w:p>
    <w:p>
      <w:pPr>
        <w:spacing w:after="60" w:before="60"/>
        <w:jc w:val="left"/>
      </w:pPr>
      <w:r>
        <w:rPr>
          <w:rFonts w:ascii="Calibri" w:cs="Calibri" w:eastAsia="Calibri" w:hAnsi="Calibri"/>
          <w:b w:val="false"/>
          <w:bCs w:val="false"/>
          <w:i w:val="false"/>
          <w:iCs w:val="false"/>
          <w:color w:val="1A1A1A"/>
          <w:sz w:val="20"/>
          <w:szCs w:val="20"/>
        </w:rPr>
        <w:t xml:space="preserve">Before implementing any strategies, changes, or decisions suggested or implied by Assessment Outputs, you are strongly encouraged to:</w:t>
      </w:r>
    </w:p>
    <w:p>
      <w:pPr>
        <w:pStyle w:val="ListParagraph"/>
        <w:numPr>
          <w:ilvl w:val="0"/>
          <w:numId w:val="2"/>
        </w:numPr>
        <w:spacing w:after="40" w:before="40"/>
      </w:pPr>
      <w:r>
        <w:rPr>
          <w:rFonts w:ascii="Calibri" w:cs="Calibri" w:eastAsia="Calibri" w:hAnsi="Calibri"/>
          <w:color w:val="1A1A1A"/>
          <w:sz w:val="20"/>
          <w:szCs w:val="20"/>
        </w:rPr>
        <w:t xml:space="preserve">Consult with a qualified certified public accountant or financial advisor for financial and accounting matters;</w:t>
      </w:r>
    </w:p>
    <w:p>
      <w:pPr>
        <w:pStyle w:val="ListParagraph"/>
        <w:numPr>
          <w:ilvl w:val="0"/>
          <w:numId w:val="2"/>
        </w:numPr>
        <w:spacing w:after="40" w:before="40"/>
      </w:pPr>
      <w:r>
        <w:rPr>
          <w:rFonts w:ascii="Calibri" w:cs="Calibri" w:eastAsia="Calibri" w:hAnsi="Calibri"/>
          <w:color w:val="1A1A1A"/>
          <w:sz w:val="20"/>
          <w:szCs w:val="20"/>
        </w:rPr>
        <w:t xml:space="preserve">Consult with a licensed attorney for legal matters;</w:t>
      </w:r>
    </w:p>
    <w:p>
      <w:pPr>
        <w:pStyle w:val="ListParagraph"/>
        <w:numPr>
          <w:ilvl w:val="0"/>
          <w:numId w:val="2"/>
        </w:numPr>
        <w:spacing w:after="40" w:before="40"/>
      </w:pPr>
      <w:r>
        <w:rPr>
          <w:rFonts w:ascii="Calibri" w:cs="Calibri" w:eastAsia="Calibri" w:hAnsi="Calibri"/>
          <w:color w:val="1A1A1A"/>
          <w:sz w:val="20"/>
          <w:szCs w:val="20"/>
        </w:rPr>
        <w:t xml:space="preserve">Consult with appropriate licensed professionals for any matter requiring professional expertise;</w:t>
      </w:r>
    </w:p>
    <w:p>
      <w:pPr>
        <w:pStyle w:val="ListParagraph"/>
        <w:numPr>
          <w:ilvl w:val="0"/>
          <w:numId w:val="2"/>
        </w:numPr>
        <w:spacing w:after="40" w:before="40"/>
      </w:pPr>
      <w:r>
        <w:rPr>
          <w:rFonts w:ascii="Calibri" w:cs="Calibri" w:eastAsia="Calibri" w:hAnsi="Calibri"/>
          <w:color w:val="1A1A1A"/>
          <w:sz w:val="20"/>
          <w:szCs w:val="20"/>
        </w:rPr>
        <w:t xml:space="preserve">Exercise your own independent judgment and discretion in evaluating recommendations.</w:t>
      </w:r>
    </w:p>
    <w:p>
      <w:pPr>
        <w:spacing w:after="60" w:before="60"/>
        <w:jc w:val="left"/>
      </w:pPr>
      <w:r>
        <w:rPr>
          <w:rFonts w:ascii="Calibri" w:cs="Calibri" w:eastAsia="Calibri" w:hAnsi="Calibri"/>
          <w:b w:val="false"/>
          <w:bCs w:val="false"/>
          <w:i w:val="false"/>
          <w:iCs w:val="false"/>
          <w:color w:val="1A1A1A"/>
          <w:sz w:val="20"/>
          <w:szCs w:val="20"/>
        </w:rPr>
        <w:t xml:space="preserve">The Company assumes no liability for any business decisions, losses, damages, or outcomes arising from your use of or reliance on Assessment Outputs.</w:t>
      </w:r>
    </w:p>
    <w:p>
      <w:pPr>
        <w:pStyle w:val="Heading1"/>
        <w:pBdr>
          <w:bottom w:val="single" w:color="000000" w:sz="6" w:space="4"/>
        </w:pBdr>
        <w:spacing w:after="120" w:before="400"/>
      </w:pPr>
      <w:r>
        <w:rPr>
          <w:rFonts w:ascii="Georgia" w:cs="Georgia" w:eastAsia="Georgia" w:hAnsi="Georgia"/>
          <w:b/>
          <w:bCs/>
          <w:color w:val="000000"/>
          <w:sz w:val="26"/>
          <w:szCs w:val="26"/>
        </w:rPr>
        <w:t xml:space="preserve">4. Estimates and Approximations</w:t>
      </w:r>
    </w:p>
    <w:p>
      <w:pPr>
        <w:spacing w:after="60" w:before="60"/>
        <w:jc w:val="left"/>
      </w:pPr>
      <w:r>
        <w:rPr>
          <w:rFonts w:ascii="Calibri" w:cs="Calibri" w:eastAsia="Calibri" w:hAnsi="Calibri"/>
          <w:b w:val="false"/>
          <w:bCs w:val="false"/>
          <w:i w:val="false"/>
          <w:iCs w:val="false"/>
          <w:color w:val="1A1A1A"/>
          <w:sz w:val="20"/>
          <w:szCs w:val="20"/>
        </w:rPr>
        <w:t xml:space="preserve">All scores, projections, benchmarks, and quantitative outputs generated by the Assessment are estimates based solely on the information you provide during the Assessment process. These outputs:</w:t>
      </w:r>
    </w:p>
    <w:p>
      <w:pPr>
        <w:pStyle w:val="ListParagraph"/>
        <w:numPr>
          <w:ilvl w:val="0"/>
          <w:numId w:val="2"/>
        </w:numPr>
        <w:spacing w:after="40" w:before="40"/>
      </w:pPr>
      <w:r>
        <w:rPr>
          <w:rFonts w:ascii="Calibri" w:cs="Calibri" w:eastAsia="Calibri" w:hAnsi="Calibri"/>
          <w:color w:val="1A1A1A"/>
          <w:sz w:val="20"/>
          <w:szCs w:val="20"/>
        </w:rPr>
        <w:t xml:space="preserve">Are not based on an audit, review, or verification of your actual business records or financial statements;</w:t>
      </w:r>
    </w:p>
    <w:p>
      <w:pPr>
        <w:pStyle w:val="ListParagraph"/>
        <w:numPr>
          <w:ilvl w:val="0"/>
          <w:numId w:val="2"/>
        </w:numPr>
        <w:spacing w:after="40" w:before="40"/>
      </w:pPr>
      <w:r>
        <w:rPr>
          <w:rFonts w:ascii="Calibri" w:cs="Calibri" w:eastAsia="Calibri" w:hAnsi="Calibri"/>
          <w:color w:val="1A1A1A"/>
          <w:sz w:val="20"/>
          <w:szCs w:val="20"/>
        </w:rPr>
        <w:t xml:space="preserve">May not reflect current market conditions, local economic factors, or industry-specific variables not captured in the Assessment;</w:t>
      </w:r>
    </w:p>
    <w:p>
      <w:pPr>
        <w:pStyle w:val="ListParagraph"/>
        <w:numPr>
          <w:ilvl w:val="0"/>
          <w:numId w:val="2"/>
        </w:numPr>
        <w:spacing w:after="40" w:before="40"/>
      </w:pPr>
      <w:r>
        <w:rPr>
          <w:rFonts w:ascii="Calibri" w:cs="Calibri" w:eastAsia="Calibri" w:hAnsi="Calibri"/>
          <w:color w:val="1A1A1A"/>
          <w:sz w:val="20"/>
          <w:szCs w:val="20"/>
        </w:rPr>
        <w:t xml:space="preserve">Are subject to significant variation based on the accuracy and completeness of information submitted;</w:t>
      </w:r>
    </w:p>
    <w:p>
      <w:pPr>
        <w:pStyle w:val="ListParagraph"/>
        <w:numPr>
          <w:ilvl w:val="0"/>
          <w:numId w:val="2"/>
        </w:numPr>
        <w:spacing w:after="40" w:before="40"/>
      </w:pPr>
      <w:r>
        <w:rPr>
          <w:rFonts w:ascii="Calibri" w:cs="Calibri" w:eastAsia="Calibri" w:hAnsi="Calibri"/>
          <w:color w:val="1A1A1A"/>
          <w:sz w:val="20"/>
          <w:szCs w:val="20"/>
        </w:rPr>
        <w:t xml:space="preserve">Should not be used as a substitute for professional analysis of your actual business data;</w:t>
      </w:r>
    </w:p>
    <w:p>
      <w:pPr>
        <w:pStyle w:val="ListParagraph"/>
        <w:numPr>
          <w:ilvl w:val="0"/>
          <w:numId w:val="2"/>
        </w:numPr>
        <w:spacing w:after="40" w:before="40"/>
      </w:pPr>
      <w:r>
        <w:rPr>
          <w:rFonts w:ascii="Calibri" w:cs="Calibri" w:eastAsia="Calibri" w:hAnsi="Calibri"/>
          <w:color w:val="1A1A1A"/>
          <w:sz w:val="20"/>
          <w:szCs w:val="20"/>
        </w:rPr>
        <w:t xml:space="preserve">Do not represent guaranteed outcomes, minimum performance levels, or industry-standard benchmarks applicable to your specific circumstances.</w:t>
      </w:r>
    </w:p>
    <w:p>
      <w:pPr>
        <w:pStyle w:val="Heading1"/>
        <w:pBdr>
          <w:bottom w:val="single" w:color="000000" w:sz="6" w:space="4"/>
        </w:pBdr>
        <w:spacing w:after="120" w:before="400"/>
      </w:pPr>
      <w:r>
        <w:rPr>
          <w:rFonts w:ascii="Georgia" w:cs="Georgia" w:eastAsia="Georgia" w:hAnsi="Georgia"/>
          <w:b/>
          <w:bCs/>
          <w:color w:val="000000"/>
          <w:sz w:val="26"/>
          <w:szCs w:val="26"/>
        </w:rPr>
        <w:t xml:space="preserve">5. No Guarantee of Business Results</w:t>
      </w:r>
    </w:p>
    <w:p>
      <w:pPr>
        <w:spacing w:after="60" w:before="60"/>
        <w:jc w:val="left"/>
      </w:pPr>
      <w:r>
        <w:rPr>
          <w:rFonts w:ascii="Calibri" w:cs="Calibri" w:eastAsia="Calibri" w:hAnsi="Calibri"/>
          <w:b w:val="false"/>
          <w:bCs w:val="false"/>
          <w:i w:val="false"/>
          <w:iCs w:val="false"/>
          <w:color w:val="1A1A1A"/>
          <w:sz w:val="20"/>
          <w:szCs w:val="20"/>
        </w:rPr>
        <w:t xml:space="preserve">THE COMPANY MAKES NO REPRESENTATIONS, WARRANTIES, OR GUARANTEES OF ANY KIND — EXPRESS OR IMPLIED — THAT USE OF THE ASSESSMENT OR IMPLEMENTATION OF ANY RECOMMENDATIONS WILL RESULT IN ANY PARTICULAR BUSINESS OUTCOMES, REVENUE IMPROVEMENTS, PROFIT INCREASES, CLIENT GROWTH, OR OTHER MEASURABLE RESULTS.</w:t>
      </w:r>
    </w:p>
    <w:p>
      <w:pPr>
        <w:spacing w:after="60" w:before="60"/>
        <w:jc w:val="left"/>
      </w:pPr>
      <w:r>
        <w:rPr>
          <w:rFonts w:ascii="Calibri" w:cs="Calibri" w:eastAsia="Calibri" w:hAnsi="Calibri"/>
          <w:b w:val="false"/>
          <w:bCs w:val="false"/>
          <w:i w:val="false"/>
          <w:iCs w:val="false"/>
          <w:color w:val="1A1A1A"/>
          <w:sz w:val="20"/>
          <w:szCs w:val="20"/>
        </w:rPr>
        <w:t xml:space="preserve">Business performance is affected by numerous factors beyond the scope of any assessment instrument, including but not limited to:</w:t>
      </w:r>
    </w:p>
    <w:p>
      <w:pPr>
        <w:pStyle w:val="ListParagraph"/>
        <w:numPr>
          <w:ilvl w:val="0"/>
          <w:numId w:val="2"/>
        </w:numPr>
        <w:spacing w:after="40" w:before="40"/>
      </w:pPr>
      <w:r>
        <w:rPr>
          <w:rFonts w:ascii="Calibri" w:cs="Calibri" w:eastAsia="Calibri" w:hAnsi="Calibri"/>
          <w:color w:val="1A1A1A"/>
          <w:sz w:val="20"/>
          <w:szCs w:val="20"/>
        </w:rPr>
        <w:t xml:space="preserve">General economic and market conditions;</w:t>
      </w:r>
    </w:p>
    <w:p>
      <w:pPr>
        <w:pStyle w:val="ListParagraph"/>
        <w:numPr>
          <w:ilvl w:val="0"/>
          <w:numId w:val="2"/>
        </w:numPr>
        <w:spacing w:after="40" w:before="40"/>
      </w:pPr>
      <w:r>
        <w:rPr>
          <w:rFonts w:ascii="Calibri" w:cs="Calibri" w:eastAsia="Calibri" w:hAnsi="Calibri"/>
          <w:color w:val="1A1A1A"/>
          <w:sz w:val="20"/>
          <w:szCs w:val="20"/>
        </w:rPr>
        <w:t xml:space="preserve">Local competition and competitive dynamics;</w:t>
      </w:r>
    </w:p>
    <w:p>
      <w:pPr>
        <w:pStyle w:val="ListParagraph"/>
        <w:numPr>
          <w:ilvl w:val="0"/>
          <w:numId w:val="2"/>
        </w:numPr>
        <w:spacing w:after="40" w:before="40"/>
      </w:pPr>
      <w:r>
        <w:rPr>
          <w:rFonts w:ascii="Calibri" w:cs="Calibri" w:eastAsia="Calibri" w:hAnsi="Calibri"/>
          <w:color w:val="1A1A1A"/>
          <w:sz w:val="20"/>
          <w:szCs w:val="20"/>
        </w:rPr>
        <w:t xml:space="preserve">The consistency and quality of implementation;</w:t>
      </w:r>
    </w:p>
    <w:p>
      <w:pPr>
        <w:pStyle w:val="ListParagraph"/>
        <w:numPr>
          <w:ilvl w:val="0"/>
          <w:numId w:val="2"/>
        </w:numPr>
        <w:spacing w:after="40" w:before="40"/>
      </w:pPr>
      <w:r>
        <w:rPr>
          <w:rFonts w:ascii="Calibri" w:cs="Calibri" w:eastAsia="Calibri" w:hAnsi="Calibri"/>
          <w:color w:val="1A1A1A"/>
          <w:sz w:val="20"/>
          <w:szCs w:val="20"/>
        </w:rPr>
        <w:t xml:space="preserve">Individual skills, experience, and business acumen;</w:t>
      </w:r>
    </w:p>
    <w:p>
      <w:pPr>
        <w:pStyle w:val="ListParagraph"/>
        <w:numPr>
          <w:ilvl w:val="0"/>
          <w:numId w:val="2"/>
        </w:numPr>
        <w:spacing w:after="40" w:before="40"/>
      </w:pPr>
      <w:r>
        <w:rPr>
          <w:rFonts w:ascii="Calibri" w:cs="Calibri" w:eastAsia="Calibri" w:hAnsi="Calibri"/>
          <w:color w:val="1A1A1A"/>
          <w:sz w:val="20"/>
          <w:szCs w:val="20"/>
        </w:rPr>
        <w:t xml:space="preserve">Workforce and staffing factors;</w:t>
      </w:r>
    </w:p>
    <w:p>
      <w:pPr>
        <w:pStyle w:val="ListParagraph"/>
        <w:numPr>
          <w:ilvl w:val="0"/>
          <w:numId w:val="2"/>
        </w:numPr>
        <w:spacing w:after="40" w:before="40"/>
      </w:pPr>
      <w:r>
        <w:rPr>
          <w:rFonts w:ascii="Calibri" w:cs="Calibri" w:eastAsia="Calibri" w:hAnsi="Calibri"/>
          <w:color w:val="1A1A1A"/>
          <w:sz w:val="20"/>
          <w:szCs w:val="20"/>
        </w:rPr>
        <w:t xml:space="preserve">Regulatory and legal environment;</w:t>
      </w:r>
    </w:p>
    <w:p>
      <w:pPr>
        <w:pStyle w:val="ListParagraph"/>
        <w:numPr>
          <w:ilvl w:val="0"/>
          <w:numId w:val="2"/>
        </w:numPr>
        <w:spacing w:after="40" w:before="40"/>
      </w:pPr>
      <w:r>
        <w:rPr>
          <w:rFonts w:ascii="Calibri" w:cs="Calibri" w:eastAsia="Calibri" w:hAnsi="Calibri"/>
          <w:color w:val="1A1A1A"/>
          <w:sz w:val="20"/>
          <w:szCs w:val="20"/>
        </w:rPr>
        <w:t xml:space="preserve">External events and circumstances beyond any party's control.</w:t>
      </w:r>
    </w:p>
    <w:p>
      <w:pPr>
        <w:spacing w:after="60" w:before="60"/>
        <w:jc w:val="left"/>
      </w:pPr>
      <w:r>
        <w:rPr>
          <w:rFonts w:ascii="Calibri" w:cs="Calibri" w:eastAsia="Calibri" w:hAnsi="Calibri"/>
          <w:b w:val="false"/>
          <w:bCs w:val="false"/>
          <w:i w:val="false"/>
          <w:iCs w:val="false"/>
          <w:color w:val="1A1A1A"/>
          <w:sz w:val="20"/>
          <w:szCs w:val="20"/>
        </w:rPr>
        <w:t xml:space="preserve">Any examples, projections, or illustrations of potential outcomes included in the Platform or its educational materials are illustrative only and are not representative of actual results achieved by the Company's users.</w:t>
      </w:r>
    </w:p>
    <w:p>
      <w:pPr>
        <w:pStyle w:val="Heading1"/>
        <w:pBdr>
          <w:bottom w:val="single" w:color="000000" w:sz="6" w:space="4"/>
        </w:pBdr>
        <w:spacing w:after="120" w:before="400"/>
      </w:pPr>
      <w:r>
        <w:rPr>
          <w:rFonts w:ascii="Georgia" w:cs="Georgia" w:eastAsia="Georgia" w:hAnsi="Georgia"/>
          <w:b/>
          <w:bCs/>
          <w:color w:val="000000"/>
          <w:sz w:val="26"/>
          <w:szCs w:val="26"/>
        </w:rPr>
        <w:t xml:space="preserve">6. Accuracy of Submitted Information</w:t>
      </w:r>
    </w:p>
    <w:p>
      <w:pPr>
        <w:spacing w:after="60" w:before="60"/>
        <w:jc w:val="left"/>
      </w:pPr>
      <w:r>
        <w:rPr>
          <w:rFonts w:ascii="Calibri" w:cs="Calibri" w:eastAsia="Calibri" w:hAnsi="Calibri"/>
          <w:b w:val="false"/>
          <w:bCs w:val="false"/>
          <w:i w:val="false"/>
          <w:iCs w:val="false"/>
          <w:color w:val="1A1A1A"/>
          <w:sz w:val="20"/>
          <w:szCs w:val="20"/>
        </w:rPr>
        <w:t xml:space="preserve">The relevance and utility of Assessment Outputs depend entirely on the accuracy and completeness of the information you provide. The Company:</w:t>
      </w:r>
    </w:p>
    <w:p>
      <w:pPr>
        <w:pStyle w:val="ListParagraph"/>
        <w:numPr>
          <w:ilvl w:val="0"/>
          <w:numId w:val="2"/>
        </w:numPr>
        <w:spacing w:after="40" w:before="40"/>
      </w:pPr>
      <w:r>
        <w:rPr>
          <w:rFonts w:ascii="Calibri" w:cs="Calibri" w:eastAsia="Calibri" w:hAnsi="Calibri"/>
          <w:color w:val="1A1A1A"/>
          <w:sz w:val="20"/>
          <w:szCs w:val="20"/>
        </w:rPr>
        <w:t xml:space="preserve">Does not independently verify any information submitted through the Assessment;</w:t>
      </w:r>
    </w:p>
    <w:p>
      <w:pPr>
        <w:pStyle w:val="ListParagraph"/>
        <w:numPr>
          <w:ilvl w:val="0"/>
          <w:numId w:val="2"/>
        </w:numPr>
        <w:spacing w:after="40" w:before="40"/>
      </w:pPr>
      <w:r>
        <w:rPr>
          <w:rFonts w:ascii="Calibri" w:cs="Calibri" w:eastAsia="Calibri" w:hAnsi="Calibri"/>
          <w:color w:val="1A1A1A"/>
          <w:sz w:val="20"/>
          <w:szCs w:val="20"/>
        </w:rPr>
        <w:t xml:space="preserve">Is not responsible for inaccurate, incomplete, or misleading outputs resulting from inaccurate or incomplete submissions;</w:t>
      </w:r>
    </w:p>
    <w:p>
      <w:pPr>
        <w:pStyle w:val="ListParagraph"/>
        <w:numPr>
          <w:ilvl w:val="0"/>
          <w:numId w:val="2"/>
        </w:numPr>
        <w:spacing w:after="40" w:before="40"/>
      </w:pPr>
      <w:r>
        <w:rPr>
          <w:rFonts w:ascii="Calibri" w:cs="Calibri" w:eastAsia="Calibri" w:hAnsi="Calibri"/>
          <w:color w:val="1A1A1A"/>
          <w:sz w:val="20"/>
          <w:szCs w:val="20"/>
        </w:rPr>
        <w:t xml:space="preserve">Makes no representation that outputs accurately reflect your business circumstances if information submitted is not accurate and complete.</w:t>
      </w:r>
    </w:p>
    <w:p>
      <w:pPr>
        <w:pStyle w:val="Heading1"/>
        <w:pBdr>
          <w:bottom w:val="single" w:color="000000" w:sz="6" w:space="4"/>
        </w:pBdr>
        <w:spacing w:after="120" w:before="400"/>
      </w:pPr>
      <w:r>
        <w:rPr>
          <w:rFonts w:ascii="Georgia" w:cs="Georgia" w:eastAsia="Georgia" w:hAnsi="Georgia"/>
          <w:b/>
          <w:bCs/>
          <w:color w:val="000000"/>
          <w:sz w:val="26"/>
          <w:szCs w:val="26"/>
        </w:rPr>
        <w:t xml:space="preserve">7. Acknowledgment</w:t>
      </w:r>
    </w:p>
    <w:p>
      <w:pPr>
        <w:spacing w:after="60" w:before="60"/>
        <w:jc w:val="left"/>
      </w:pPr>
      <w:r>
        <w:rPr>
          <w:rFonts w:ascii="Calibri" w:cs="Calibri" w:eastAsia="Calibri" w:hAnsi="Calibri"/>
          <w:b w:val="false"/>
          <w:bCs w:val="false"/>
          <w:i w:val="false"/>
          <w:iCs w:val="false"/>
          <w:color w:val="1A1A1A"/>
          <w:sz w:val="20"/>
          <w:szCs w:val="20"/>
        </w:rPr>
        <w:t xml:space="preserve">By proceeding with the Assessment and accessing Assessment Outputs, you expressly acknowledge that:</w:t>
      </w:r>
    </w:p>
    <w:p>
      <w:pPr>
        <w:pStyle w:val="ListParagraph"/>
        <w:numPr>
          <w:ilvl w:val="0"/>
          <w:numId w:val="2"/>
        </w:numPr>
        <w:spacing w:after="40" w:before="40"/>
      </w:pPr>
      <w:r>
        <w:rPr>
          <w:rFonts w:ascii="Calibri" w:cs="Calibri" w:eastAsia="Calibri" w:hAnsi="Calibri"/>
          <w:color w:val="1A1A1A"/>
          <w:sz w:val="20"/>
          <w:szCs w:val="20"/>
        </w:rPr>
        <w:t xml:space="preserve">You have read and understood this Disclaimer in its entirety;</w:t>
      </w:r>
    </w:p>
    <w:p>
      <w:pPr>
        <w:pStyle w:val="ListParagraph"/>
        <w:numPr>
          <w:ilvl w:val="0"/>
          <w:numId w:val="2"/>
        </w:numPr>
        <w:spacing w:after="40" w:before="40"/>
      </w:pPr>
      <w:r>
        <w:rPr>
          <w:rFonts w:ascii="Calibri" w:cs="Calibri" w:eastAsia="Calibri" w:hAnsi="Calibri"/>
          <w:color w:val="1A1A1A"/>
          <w:sz w:val="20"/>
          <w:szCs w:val="20"/>
        </w:rPr>
        <w:t xml:space="preserve">You understand the educational and non-advisory nature of the Assessment;</w:t>
      </w:r>
    </w:p>
    <w:p>
      <w:pPr>
        <w:pStyle w:val="ListParagraph"/>
        <w:numPr>
          <w:ilvl w:val="0"/>
          <w:numId w:val="2"/>
        </w:numPr>
        <w:spacing w:after="40" w:before="40"/>
      </w:pPr>
      <w:r>
        <w:rPr>
          <w:rFonts w:ascii="Calibri" w:cs="Calibri" w:eastAsia="Calibri" w:hAnsi="Calibri"/>
          <w:color w:val="1A1A1A"/>
          <w:sz w:val="20"/>
          <w:szCs w:val="20"/>
        </w:rPr>
        <w:t xml:space="preserve">You understand the role and limitations of artificial intelligence in generating Assessment Outputs;</w:t>
      </w:r>
    </w:p>
    <w:p>
      <w:pPr>
        <w:pStyle w:val="ListParagraph"/>
        <w:numPr>
          <w:ilvl w:val="0"/>
          <w:numId w:val="2"/>
        </w:numPr>
        <w:spacing w:after="40" w:before="40"/>
      </w:pPr>
      <w:r>
        <w:rPr>
          <w:rFonts w:ascii="Calibri" w:cs="Calibri" w:eastAsia="Calibri" w:hAnsi="Calibri"/>
          <w:color w:val="1A1A1A"/>
          <w:sz w:val="20"/>
          <w:szCs w:val="20"/>
        </w:rPr>
        <w:t xml:space="preserve">You accept sole responsibility for all business decisions made in connection with your use of the Platform;</w:t>
      </w:r>
    </w:p>
    <w:p>
      <w:pPr>
        <w:pStyle w:val="ListParagraph"/>
        <w:numPr>
          <w:ilvl w:val="0"/>
          <w:numId w:val="2"/>
        </w:numPr>
        <w:spacing w:after="40" w:before="40"/>
      </w:pPr>
      <w:r>
        <w:rPr>
          <w:rFonts w:ascii="Calibri" w:cs="Calibri" w:eastAsia="Calibri" w:hAnsi="Calibri"/>
          <w:color w:val="1A1A1A"/>
          <w:sz w:val="20"/>
          <w:szCs w:val="20"/>
        </w:rPr>
        <w:t xml:space="preserve">You have been advised to consult qualified professionals for matters requiring professional expertise.</w:t>
      </w:r>
    </w:p>
    <w:p>
      <w:pPr>
        <w:spacing w:after="20" w:before="6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For inquiries regarding this Disclaimer: Panache Hair Company LLC | Benita Davis, Your Healthy Hair Coach | [legal@benitadavis.com]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lvl w:ilvl="1" w15:tentative="1">
      <w:start w:val="1"/>
      <w:numFmt w:val="bullet"/>
      <w:lvlText w:val="◦"/>
      <w:lvlJc w:val="left"/>
      <w:pPr>
        <w:ind w:left="800" w:hanging="240"/>
      </w:pPr>
    </w:lvl>
  </w:abstractNum>
  <w:abstractNum w:abstractNumId="3" w15:restartNumberingAfterBreak="0">
    <w:multiLevelType w:val="hybridMultilevel"/>
    <w:lvl w:ilvl="0" w15:tentative="1">
      <w:start w:val="1"/>
      <w:numFmt w:val="decimal"/>
      <w:lvlText w:val="%1."/>
      <w:lvlJc w:val="left"/>
      <w:pPr>
        <w:ind w:left="480" w:hanging="240"/>
      </w:pPr>
    </w:lvl>
    <w:lvl w:ilvl="1" w15:tentative="1">
      <w:start w:val="1"/>
      <w:numFmt w:val="lowerLetter"/>
      <w:lvlText w:val="(%2)"/>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20" w:before="400"/>
      <w:outlineLvl w:val="0"/>
    </w:pPr>
    <w:rPr>
      <w:rFonts w:ascii="Georgia" w:cs="Georgia" w:eastAsia="Georgia" w:hAnsi="Georgia"/>
      <w:b/>
      <w:bCs/>
      <w:color w:val="000000"/>
      <w:sz w:val="26"/>
      <w:szCs w:val="26"/>
    </w:rPr>
  </w:style>
  <w:style w:type="paragraph" w:styleId="Heading2">
    <w:name w:val="Heading 2"/>
    <w:basedOn w:val="Normal"/>
    <w:next w:val="Normal"/>
    <w:pPr>
      <w:spacing w:after="100" w:before="300"/>
      <w:outlineLvl w:val="1"/>
    </w:pPr>
    <w:rPr>
      <w:rFonts w:ascii="Calibri" w:cs="Calibri" w:eastAsia="Calibri" w:hAnsi="Calibri"/>
      <w:b/>
      <w:bCs/>
      <w:color w:val="1A1A1A"/>
      <w:sz w:val="22"/>
      <w:szCs w:val="22"/>
    </w:rPr>
  </w:style>
  <w:style w:type="paragraph" w:styleId="Heading3">
    <w:name w:val="Heading 3"/>
    <w:basedOn w:val="Normal"/>
    <w:next w:val="Normal"/>
    <w:pPr>
      <w:spacing w:after="80" w:before="220"/>
      <w:outlineLvl w:val="2"/>
    </w:pPr>
    <w:rPr>
      <w:rFonts w:ascii="Calibri" w:cs="Calibri" w:eastAsia="Calibri" w:hAnsi="Calibri"/>
      <w:b/>
      <w:bCs/>
      <w:color w:val="4A4A4A"/>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2026-07-21T21:51:36.907Z</dcterms:created>
  <dcterms:modified xsi:type="dcterms:W3CDTF">2026-07-21T21:51:36.907Z</dcterms:modified>
</cp:coreProperties>
</file>

<file path=docProps/custom.xml><?xml version="1.0" encoding="utf-8"?>
<Properties xmlns="http://schemas.openxmlformats.org/officeDocument/2006/custom-properties" xmlns:vt="http://schemas.openxmlformats.org/officeDocument/2006/docPropsVTypes"/>
</file>